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Письмо Минфина России от 7 марта 2023 г.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24-07-08/19169</w:t>
      </w:r>
    </w:p>
    <w:p>
      <w:pPr>
        <w:ind w:left="0" w:leftChars="0" w:firstLine="1002" w:firstLineChars="416"/>
        <w:jc w:val="center"/>
        <w:rPr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"О рассмотрении обращений"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России, рассмотрев обращения по вопросам применения положений Федерального закона от 18 июля 2011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"О закупках товаров, работ, услуг отдельными видами юридических лиц" (далее соответственно - Департамент,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223-ФЗ), сообщает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соответствии с пунктами 11 8 и 12 5 Регламента Министерства финансов Российской Федерации, утвержденного приказом Минфина России от 14 сентября 2018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194н,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при осуществлении закупок.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Вместе с тем Департамент считает возможным сообщить следующее.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Согласно части 2 статьи 1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указанный Федеральный закон устанавливает общие принципы закупки товаров, работ, услуг и основные требования к закупке товаров, работ, услуг юридическими лицами, указанными в части 2 статьи 1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(далее - заказчики).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Пунктом 34 положения, утвержденного постановлением Правительства Российской Федерации от 11 декабря 2014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1352 (далее - Постановление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1352), установлено, что заказчики составляют годовой отчет о закупке товаров, работ, услуг отдельными видами юридических лиц у субъектов малого и среднего предпринимательства (далее соответственно - отчет, субъекты МСП) в соответствии с требованиями, утвержденными Постановлением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1352, и размещают указанный отчет в соответствии с частью 21 статьи 4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в единой информационной системе в сфере закупок (далее - ЕИС) не позднее 1 февраля года, следующего за прошедшим календарным годом.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Согласно части 8 1 статьи 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в случае невыполнения заказчиком обязанности осуществить закупки у субъектов МСП в течение календарного года в объеме, установленном Правительством Российской Федерации в соответствии с пунктом 2 части 8 статьи 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223-ФЗ, либо размещения недостоверной информации о годовом объеме закупок у таких субъектов, включенной в отчет, предусмотренный частью 21 статьи 4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223-ФЗ, либо неразмещения указанного отчета в ЕИС положение о закупке данного заказчика с 1 февраля года, следующего за прошедшим календарным годом, и до завершения этого года признается неразмещенным в соответствии с требованиями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данном случае в течение указанного периода заказчики руководствуются положениями Федерального закона от 5 апреля 2013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44-ФЗ) в определенных указанной частью пределах, в том числе в части осуществления закупок у субъектов малого предпринимательства, социально ориентированных некоммерческих организаций в соответствии с частями 1 - 3, 5 - 8 статьи 30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44-ФЗ. При этом для целей указанной части под совокупным годовым объемом закупок заказчика понимается совокупный объем цен договоров, заключенных заказчиком с 1 февраля до окончания календарного года.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Учитывая изложенное, по мнению Департамента, в случае неразмещения заказчиком отчета в ЕИС в установленный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срок положение о закупке такого заказчика в течение указанного в части 8 1 статьи 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периода признается неразмещенным в соответствии с требованиями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и такой заказчик руководствуется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</w:rPr>
        <w:t>44-ФЗ в определенных указанной частью пределах.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В отношении возврата к осуществлению закупок в соответствии с Законом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следует отметить, что часть 8 1 статьи 3 Закона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223-ФЗ предусматривает признание положения о закупке неразмещенным исключительно до завершения года (с 1 февраля года, следующего за прошедшим), в связи с чем положения указанной части не распространяются на правоотношения по истечении такого периода.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При этом пунктом 1 постановления Правительства Российской Федерации от 13 апреля 2017 г.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sz w:val="24"/>
          <w:szCs w:val="24"/>
        </w:rPr>
        <w:t xml:space="preserve"> 442 установлено, что Федеральное казначейство определено уполномоченным федеральным органом исполнительной власти, осуществляющим функции по выработке функциональных требований к ЕИС, по созданию, развитию, ведению и обслуживанию ЕИС, по установлению порядка регистрации в ЕИС и порядка пользования ЕИС, в связи с чем по вопросам порядка пользования ЕИС, размещения информации в ЕИС Вы вправе обратиться в Федеральное казначейство.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Заместитель директора</w:t>
      </w:r>
    </w:p>
    <w:p>
      <w:pPr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Департамента</w:t>
      </w:r>
    </w:p>
    <w:p>
      <w:pPr>
        <w:ind w:firstLine="6840" w:firstLineChars="285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Д.А. Готовцев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p>
      <w:pPr>
        <w:ind w:left="0" w:leftChars="0" w:firstLine="998" w:firstLineChars="416"/>
        <w:jc w:val="both"/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AD6A71"/>
    <w:rsid w:val="4AAD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2023-04-03T09:33:00Z</dcterms:created>
  <dc:creator>rahma</dc:creator>
  <cp:lastModifiedBy>rahma</cp:lastModifiedBy>
  <dcterms:modified xsi:type="dcterms:W3CDTF">2023-04-03T09:39:52Z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1049-11.2.0.11513</vt:lpwstr>
  </property>
  <property fmtid="{D5CDD505-2E9C-101B-9397-08002B2CF9AE}" pid="3" name="ICV">
    <vt:lpwstr>DC77A7DD6C4C4F7C81E103B422545146</vt:lpwstr>
  </property>
</Properties>
</file>