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54" w:rsidRPr="003D7254" w:rsidRDefault="003D7254" w:rsidP="003D7254">
      <w:pPr>
        <w:spacing w:after="0" w:line="240" w:lineRule="auto"/>
        <w:jc w:val="center"/>
        <w:rPr>
          <w:rFonts w:ascii="Verdana" w:eastAsia="Times New Roman" w:hAnsi="Verdana" w:cs="Times New Roman"/>
          <w:b/>
          <w:bCs/>
          <w:sz w:val="21"/>
          <w:szCs w:val="21"/>
          <w:lang w:eastAsia="ru-RU"/>
        </w:rPr>
      </w:pPr>
      <w:r w:rsidRPr="003D7254">
        <w:rPr>
          <w:rFonts w:ascii="Arial" w:eastAsia="Times New Roman" w:hAnsi="Arial" w:cs="Arial"/>
          <w:b/>
          <w:bCs/>
          <w:sz w:val="24"/>
          <w:szCs w:val="24"/>
          <w:lang w:eastAsia="ru-RU"/>
        </w:rPr>
        <w:t>МИНИСТЕРСТВО ФИНАНСОВ РОССИЙСКОЙ ФЕДЕРАЦИИ</w:t>
      </w:r>
    </w:p>
    <w:p w:rsidR="003D7254" w:rsidRPr="003D7254" w:rsidRDefault="003D7254" w:rsidP="003D7254">
      <w:pPr>
        <w:spacing w:after="0" w:line="240" w:lineRule="auto"/>
        <w:jc w:val="center"/>
        <w:rPr>
          <w:rFonts w:ascii="Verdana" w:eastAsia="Times New Roman" w:hAnsi="Verdana" w:cs="Times New Roman"/>
          <w:b/>
          <w:bCs/>
          <w:sz w:val="21"/>
          <w:szCs w:val="21"/>
          <w:lang w:eastAsia="ru-RU"/>
        </w:rPr>
      </w:pPr>
      <w:r w:rsidRPr="003D7254">
        <w:rPr>
          <w:rFonts w:ascii="Arial" w:eastAsia="Times New Roman" w:hAnsi="Arial" w:cs="Arial"/>
          <w:b/>
          <w:bCs/>
          <w:sz w:val="24"/>
          <w:szCs w:val="24"/>
          <w:lang w:eastAsia="ru-RU"/>
        </w:rPr>
        <w:t> </w:t>
      </w:r>
    </w:p>
    <w:p w:rsidR="003D7254" w:rsidRPr="003D7254" w:rsidRDefault="003D7254" w:rsidP="003D7254">
      <w:pPr>
        <w:spacing w:after="0" w:line="240" w:lineRule="auto"/>
        <w:jc w:val="center"/>
        <w:rPr>
          <w:rFonts w:ascii="Verdana" w:eastAsia="Times New Roman" w:hAnsi="Verdana" w:cs="Times New Roman"/>
          <w:b/>
          <w:bCs/>
          <w:sz w:val="21"/>
          <w:szCs w:val="21"/>
          <w:lang w:eastAsia="ru-RU"/>
        </w:rPr>
      </w:pPr>
      <w:r w:rsidRPr="003D7254">
        <w:rPr>
          <w:rFonts w:ascii="Arial" w:eastAsia="Times New Roman" w:hAnsi="Arial" w:cs="Arial"/>
          <w:b/>
          <w:bCs/>
          <w:sz w:val="24"/>
          <w:szCs w:val="24"/>
          <w:lang w:eastAsia="ru-RU"/>
        </w:rPr>
        <w:t>ПИСЬМО</w:t>
      </w:r>
    </w:p>
    <w:p w:rsidR="003D7254" w:rsidRPr="003D7254" w:rsidRDefault="003D7254" w:rsidP="003D7254">
      <w:pPr>
        <w:spacing w:after="0" w:line="240" w:lineRule="auto"/>
        <w:jc w:val="center"/>
        <w:rPr>
          <w:rFonts w:ascii="Verdana" w:eastAsia="Times New Roman" w:hAnsi="Verdana" w:cs="Times New Roman"/>
          <w:b/>
          <w:bCs/>
          <w:sz w:val="21"/>
          <w:szCs w:val="21"/>
          <w:lang w:eastAsia="ru-RU"/>
        </w:rPr>
      </w:pPr>
      <w:r w:rsidRPr="003D7254">
        <w:rPr>
          <w:rFonts w:ascii="Arial" w:eastAsia="Times New Roman" w:hAnsi="Arial" w:cs="Arial"/>
          <w:b/>
          <w:bCs/>
          <w:sz w:val="24"/>
          <w:szCs w:val="24"/>
          <w:lang w:eastAsia="ru-RU"/>
        </w:rPr>
        <w:t>от 10 декабря 2019 г. N 24-03-07/95890</w:t>
      </w:r>
    </w:p>
    <w:p w:rsidR="003D7254" w:rsidRPr="003D7254" w:rsidRDefault="003D7254" w:rsidP="003D7254">
      <w:pPr>
        <w:spacing w:after="0" w:line="240" w:lineRule="auto"/>
        <w:jc w:val="both"/>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 </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proofErr w:type="gramStart"/>
      <w:r w:rsidRPr="003D725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КГКУ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отражения информации о выданной в качестве обеспечения исполнения контракта банковской гарантии</w:t>
      </w:r>
      <w:proofErr w:type="gramEnd"/>
      <w:r w:rsidRPr="003D7254">
        <w:rPr>
          <w:rFonts w:ascii="Times New Roman" w:eastAsia="Times New Roman" w:hAnsi="Times New Roman" w:cs="Times New Roman"/>
          <w:sz w:val="24"/>
          <w:szCs w:val="24"/>
          <w:lang w:eastAsia="ru-RU"/>
        </w:rPr>
        <w:t xml:space="preserve"> в бухгалтерском учете учреждения, в рамках своей компетенции сообщает следующее.</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proofErr w:type="gramStart"/>
      <w:r w:rsidRPr="003D7254">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3D7254">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3D7254">
        <w:rPr>
          <w:rFonts w:ascii="Times New Roman" w:eastAsia="Times New Roman" w:hAnsi="Times New Roman" w:cs="Times New Roman"/>
          <w:sz w:val="24"/>
          <w:szCs w:val="24"/>
          <w:lang w:eastAsia="ru-RU"/>
        </w:rPr>
        <w:t>связи</w:t>
      </w:r>
      <w:proofErr w:type="gramEnd"/>
      <w:r w:rsidRPr="003D7254">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Закон N 44-ФЗ не регулирует вопросы, связанные с отражением в бухгалтерском учете учреждения банковских гарантий, выданных в качестве обеспечения исполнения контракта, гарантийных обязательств.</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Вместе с тем считаем необходимым отметить следующее.</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proofErr w:type="gramStart"/>
      <w:r w:rsidRPr="003D7254">
        <w:rPr>
          <w:rFonts w:ascii="Times New Roman" w:eastAsia="Times New Roman" w:hAnsi="Times New Roman" w:cs="Times New Roman"/>
          <w:sz w:val="24"/>
          <w:szCs w:val="24"/>
          <w:lang w:eastAsia="ru-RU"/>
        </w:rPr>
        <w:t>При отражении в бюджетном учете операций, связанных с получением банковских гарантий, следует руководствоваться положениями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N 157н (далее - Инструкция N 157н), Инструкции по применению Плана</w:t>
      </w:r>
      <w:proofErr w:type="gramEnd"/>
      <w:r w:rsidRPr="003D7254">
        <w:rPr>
          <w:rFonts w:ascii="Times New Roman" w:eastAsia="Times New Roman" w:hAnsi="Times New Roman" w:cs="Times New Roman"/>
          <w:sz w:val="24"/>
          <w:szCs w:val="24"/>
          <w:lang w:eastAsia="ru-RU"/>
        </w:rPr>
        <w:t xml:space="preserve"> счетов бюджетного учета, утвержденной приказом Министерства финансов Российской Федерации от 06.12.2010 N 162н (далее - Инструкция N 162н), а также положениями федеральных стандартов бухгалтерского учета для организаций государственного сектора (далее - СГС).</w:t>
      </w:r>
    </w:p>
    <w:p w:rsidR="003D7254" w:rsidRPr="003D7254" w:rsidRDefault="003D7254" w:rsidP="003D7254">
      <w:pPr>
        <w:spacing w:after="0" w:line="240" w:lineRule="auto"/>
        <w:ind w:firstLine="540"/>
        <w:jc w:val="both"/>
        <w:rPr>
          <w:rFonts w:ascii="Verdana" w:eastAsia="Times New Roman" w:hAnsi="Verdana" w:cs="Times New Roman"/>
          <w:sz w:val="21"/>
          <w:szCs w:val="21"/>
          <w:lang w:eastAsia="ru-RU"/>
        </w:rPr>
      </w:pPr>
      <w:proofErr w:type="gramStart"/>
      <w:r w:rsidRPr="003D7254">
        <w:rPr>
          <w:rFonts w:ascii="Times New Roman" w:eastAsia="Times New Roman" w:hAnsi="Times New Roman" w:cs="Times New Roman"/>
          <w:sz w:val="24"/>
          <w:szCs w:val="24"/>
          <w:lang w:eastAsia="ru-RU"/>
        </w:rPr>
        <w:t>Обращаем внимание, что Министерством финансов Российской Федерации созданы условия, обеспечивающие доступность всех заинтересованных пользователей к текстам нормативных правовых актов, разрабатываемых департаментами ведомства, в том числе текстов Инструкции N 157н, Инструкции N 162н, СГС и методических рекомендаций по их применению, которые размещены на официальном сайте Министерства финансов Российской Федерации.</w:t>
      </w:r>
      <w:proofErr w:type="gramEnd"/>
      <w:r w:rsidRPr="003D7254">
        <w:rPr>
          <w:rFonts w:ascii="Times New Roman" w:eastAsia="Times New Roman" w:hAnsi="Times New Roman" w:cs="Times New Roman"/>
          <w:sz w:val="24"/>
          <w:szCs w:val="24"/>
          <w:lang w:eastAsia="ru-RU"/>
        </w:rPr>
        <w:t xml:space="preserve"> Интернет-адрес сайта - http://www.minfin.ru.</w:t>
      </w:r>
    </w:p>
    <w:p w:rsidR="003D7254" w:rsidRPr="003D7254" w:rsidRDefault="003D7254" w:rsidP="003D7254">
      <w:pPr>
        <w:spacing w:after="0" w:line="240" w:lineRule="auto"/>
        <w:jc w:val="both"/>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 </w:t>
      </w:r>
    </w:p>
    <w:p w:rsidR="003D7254" w:rsidRPr="003D7254" w:rsidRDefault="003D7254" w:rsidP="003D7254">
      <w:pPr>
        <w:spacing w:after="0" w:line="240" w:lineRule="auto"/>
        <w:jc w:val="right"/>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Заместитель директора Департамента</w:t>
      </w:r>
    </w:p>
    <w:p w:rsidR="003D7254" w:rsidRPr="003D7254" w:rsidRDefault="003D7254" w:rsidP="003D7254">
      <w:pPr>
        <w:spacing w:after="0" w:line="240" w:lineRule="auto"/>
        <w:jc w:val="right"/>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Д.А.ГОТОВЦЕВ</w:t>
      </w:r>
    </w:p>
    <w:p w:rsidR="003D7254" w:rsidRPr="003D7254" w:rsidRDefault="003D7254" w:rsidP="003D7254">
      <w:pPr>
        <w:spacing w:after="0" w:line="240" w:lineRule="auto"/>
        <w:rPr>
          <w:rFonts w:ascii="Verdana" w:eastAsia="Times New Roman" w:hAnsi="Verdana" w:cs="Times New Roman"/>
          <w:sz w:val="21"/>
          <w:szCs w:val="21"/>
          <w:lang w:eastAsia="ru-RU"/>
        </w:rPr>
      </w:pPr>
      <w:r w:rsidRPr="003D7254">
        <w:rPr>
          <w:rFonts w:ascii="Times New Roman" w:eastAsia="Times New Roman" w:hAnsi="Times New Roman" w:cs="Times New Roman"/>
          <w:sz w:val="24"/>
          <w:szCs w:val="24"/>
          <w:lang w:eastAsia="ru-RU"/>
        </w:rPr>
        <w:t>10.12.2019</w:t>
      </w:r>
    </w:p>
    <w:p w:rsidR="00631057" w:rsidRPr="00631057" w:rsidRDefault="00631057" w:rsidP="0044451C">
      <w:pPr>
        <w:rPr>
          <w:szCs w:val="21"/>
        </w:rPr>
      </w:pPr>
    </w:p>
    <w:sectPr w:rsidR="00631057" w:rsidRPr="00631057"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D6633"/>
    <w:rsid w:val="0005514A"/>
    <w:rsid w:val="0012725D"/>
    <w:rsid w:val="002D4840"/>
    <w:rsid w:val="00305E60"/>
    <w:rsid w:val="00311A50"/>
    <w:rsid w:val="003636AE"/>
    <w:rsid w:val="003D7254"/>
    <w:rsid w:val="0044451C"/>
    <w:rsid w:val="00484E8F"/>
    <w:rsid w:val="00490505"/>
    <w:rsid w:val="005C2F3C"/>
    <w:rsid w:val="00631057"/>
    <w:rsid w:val="006B6864"/>
    <w:rsid w:val="008B65E8"/>
    <w:rsid w:val="008D3BA2"/>
    <w:rsid w:val="00996888"/>
    <w:rsid w:val="009E1445"/>
    <w:rsid w:val="00A95CFA"/>
    <w:rsid w:val="00B01B94"/>
    <w:rsid w:val="00BB7935"/>
    <w:rsid w:val="00C251F5"/>
    <w:rsid w:val="00C45E4E"/>
    <w:rsid w:val="00C56CCC"/>
    <w:rsid w:val="00CC1BB5"/>
    <w:rsid w:val="00D5425E"/>
    <w:rsid w:val="00ED6633"/>
    <w:rsid w:val="00F252C5"/>
    <w:rsid w:val="00F8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3692">
      <w:bodyDiv w:val="1"/>
      <w:marLeft w:val="0"/>
      <w:marRight w:val="0"/>
      <w:marTop w:val="0"/>
      <w:marBottom w:val="0"/>
      <w:divBdr>
        <w:top w:val="none" w:sz="0" w:space="0" w:color="auto"/>
        <w:left w:val="none" w:sz="0" w:space="0" w:color="auto"/>
        <w:bottom w:val="none" w:sz="0" w:space="0" w:color="auto"/>
        <w:right w:val="none" w:sz="0" w:space="0" w:color="auto"/>
      </w:divBdr>
      <w:divsChild>
        <w:div w:id="164830650">
          <w:marLeft w:val="0"/>
          <w:marRight w:val="0"/>
          <w:marTop w:val="0"/>
          <w:marBottom w:val="0"/>
          <w:divBdr>
            <w:top w:val="none" w:sz="0" w:space="0" w:color="auto"/>
            <w:left w:val="none" w:sz="0" w:space="0" w:color="auto"/>
            <w:bottom w:val="none" w:sz="0" w:space="0" w:color="auto"/>
            <w:right w:val="none" w:sz="0" w:space="0" w:color="auto"/>
          </w:divBdr>
        </w:div>
      </w:divsChild>
    </w:div>
    <w:div w:id="39983139">
      <w:bodyDiv w:val="1"/>
      <w:marLeft w:val="0"/>
      <w:marRight w:val="0"/>
      <w:marTop w:val="0"/>
      <w:marBottom w:val="0"/>
      <w:divBdr>
        <w:top w:val="none" w:sz="0" w:space="0" w:color="auto"/>
        <w:left w:val="none" w:sz="0" w:space="0" w:color="auto"/>
        <w:bottom w:val="none" w:sz="0" w:space="0" w:color="auto"/>
        <w:right w:val="none" w:sz="0" w:space="0" w:color="auto"/>
      </w:divBdr>
      <w:divsChild>
        <w:div w:id="2012638299">
          <w:marLeft w:val="0"/>
          <w:marRight w:val="0"/>
          <w:marTop w:val="0"/>
          <w:marBottom w:val="0"/>
          <w:divBdr>
            <w:top w:val="none" w:sz="0" w:space="0" w:color="auto"/>
            <w:left w:val="none" w:sz="0" w:space="0" w:color="auto"/>
            <w:bottom w:val="none" w:sz="0" w:space="0" w:color="auto"/>
            <w:right w:val="none" w:sz="0" w:space="0" w:color="auto"/>
          </w:divBdr>
        </w:div>
      </w:divsChild>
    </w:div>
    <w:div w:id="85929803">
      <w:bodyDiv w:val="1"/>
      <w:marLeft w:val="0"/>
      <w:marRight w:val="0"/>
      <w:marTop w:val="0"/>
      <w:marBottom w:val="0"/>
      <w:divBdr>
        <w:top w:val="none" w:sz="0" w:space="0" w:color="auto"/>
        <w:left w:val="none" w:sz="0" w:space="0" w:color="auto"/>
        <w:bottom w:val="none" w:sz="0" w:space="0" w:color="auto"/>
        <w:right w:val="none" w:sz="0" w:space="0" w:color="auto"/>
      </w:divBdr>
      <w:divsChild>
        <w:div w:id="719209023">
          <w:marLeft w:val="0"/>
          <w:marRight w:val="0"/>
          <w:marTop w:val="0"/>
          <w:marBottom w:val="0"/>
          <w:divBdr>
            <w:top w:val="none" w:sz="0" w:space="0" w:color="auto"/>
            <w:left w:val="none" w:sz="0" w:space="0" w:color="auto"/>
            <w:bottom w:val="none" w:sz="0" w:space="0" w:color="auto"/>
            <w:right w:val="none" w:sz="0" w:space="0" w:color="auto"/>
          </w:divBdr>
        </w:div>
      </w:divsChild>
    </w:div>
    <w:div w:id="143401515">
      <w:bodyDiv w:val="1"/>
      <w:marLeft w:val="0"/>
      <w:marRight w:val="0"/>
      <w:marTop w:val="0"/>
      <w:marBottom w:val="0"/>
      <w:divBdr>
        <w:top w:val="none" w:sz="0" w:space="0" w:color="auto"/>
        <w:left w:val="none" w:sz="0" w:space="0" w:color="auto"/>
        <w:bottom w:val="none" w:sz="0" w:space="0" w:color="auto"/>
        <w:right w:val="none" w:sz="0" w:space="0" w:color="auto"/>
      </w:divBdr>
      <w:divsChild>
        <w:div w:id="1883204867">
          <w:marLeft w:val="0"/>
          <w:marRight w:val="0"/>
          <w:marTop w:val="0"/>
          <w:marBottom w:val="0"/>
          <w:divBdr>
            <w:top w:val="none" w:sz="0" w:space="0" w:color="auto"/>
            <w:left w:val="none" w:sz="0" w:space="0" w:color="auto"/>
            <w:bottom w:val="none" w:sz="0" w:space="0" w:color="auto"/>
            <w:right w:val="none" w:sz="0" w:space="0" w:color="auto"/>
          </w:divBdr>
          <w:divsChild>
            <w:div w:id="2066105137">
              <w:marLeft w:val="0"/>
              <w:marRight w:val="0"/>
              <w:marTop w:val="0"/>
              <w:marBottom w:val="0"/>
              <w:divBdr>
                <w:top w:val="none" w:sz="0" w:space="0" w:color="auto"/>
                <w:left w:val="none" w:sz="0" w:space="0" w:color="auto"/>
                <w:bottom w:val="none" w:sz="0" w:space="0" w:color="auto"/>
                <w:right w:val="none" w:sz="0" w:space="0" w:color="auto"/>
              </w:divBdr>
            </w:div>
            <w:div w:id="1150444507">
              <w:marLeft w:val="0"/>
              <w:marRight w:val="0"/>
              <w:marTop w:val="0"/>
              <w:marBottom w:val="0"/>
              <w:divBdr>
                <w:top w:val="none" w:sz="0" w:space="0" w:color="auto"/>
                <w:left w:val="none" w:sz="0" w:space="0" w:color="auto"/>
                <w:bottom w:val="none" w:sz="0" w:space="0" w:color="auto"/>
                <w:right w:val="none" w:sz="0" w:space="0" w:color="auto"/>
              </w:divBdr>
            </w:div>
          </w:divsChild>
        </w:div>
        <w:div w:id="695349378">
          <w:marLeft w:val="0"/>
          <w:marRight w:val="0"/>
          <w:marTop w:val="0"/>
          <w:marBottom w:val="0"/>
          <w:divBdr>
            <w:top w:val="none" w:sz="0" w:space="0" w:color="auto"/>
            <w:left w:val="none" w:sz="0" w:space="0" w:color="auto"/>
            <w:bottom w:val="none" w:sz="0" w:space="0" w:color="auto"/>
            <w:right w:val="none" w:sz="0" w:space="0" w:color="auto"/>
          </w:divBdr>
        </w:div>
      </w:divsChild>
    </w:div>
    <w:div w:id="358552706">
      <w:bodyDiv w:val="1"/>
      <w:marLeft w:val="0"/>
      <w:marRight w:val="0"/>
      <w:marTop w:val="0"/>
      <w:marBottom w:val="0"/>
      <w:divBdr>
        <w:top w:val="none" w:sz="0" w:space="0" w:color="auto"/>
        <w:left w:val="none" w:sz="0" w:space="0" w:color="auto"/>
        <w:bottom w:val="none" w:sz="0" w:space="0" w:color="auto"/>
        <w:right w:val="none" w:sz="0" w:space="0" w:color="auto"/>
      </w:divBdr>
      <w:divsChild>
        <w:div w:id="2046522411">
          <w:marLeft w:val="0"/>
          <w:marRight w:val="0"/>
          <w:marTop w:val="0"/>
          <w:marBottom w:val="0"/>
          <w:divBdr>
            <w:top w:val="none" w:sz="0" w:space="0" w:color="auto"/>
            <w:left w:val="none" w:sz="0" w:space="0" w:color="auto"/>
            <w:bottom w:val="none" w:sz="0" w:space="0" w:color="auto"/>
            <w:right w:val="none" w:sz="0" w:space="0" w:color="auto"/>
          </w:divBdr>
          <w:divsChild>
            <w:div w:id="906765394">
              <w:marLeft w:val="0"/>
              <w:marRight w:val="0"/>
              <w:marTop w:val="0"/>
              <w:marBottom w:val="0"/>
              <w:divBdr>
                <w:top w:val="none" w:sz="0" w:space="0" w:color="auto"/>
                <w:left w:val="none" w:sz="0" w:space="0" w:color="auto"/>
                <w:bottom w:val="none" w:sz="0" w:space="0" w:color="auto"/>
                <w:right w:val="none" w:sz="0" w:space="0" w:color="auto"/>
              </w:divBdr>
            </w:div>
            <w:div w:id="2114545784">
              <w:marLeft w:val="0"/>
              <w:marRight w:val="0"/>
              <w:marTop w:val="0"/>
              <w:marBottom w:val="0"/>
              <w:divBdr>
                <w:top w:val="none" w:sz="0" w:space="0" w:color="auto"/>
                <w:left w:val="none" w:sz="0" w:space="0" w:color="auto"/>
                <w:bottom w:val="none" w:sz="0" w:space="0" w:color="auto"/>
                <w:right w:val="none" w:sz="0" w:space="0" w:color="auto"/>
              </w:divBdr>
            </w:div>
          </w:divsChild>
        </w:div>
        <w:div w:id="1213495149">
          <w:marLeft w:val="0"/>
          <w:marRight w:val="0"/>
          <w:marTop w:val="0"/>
          <w:marBottom w:val="0"/>
          <w:divBdr>
            <w:top w:val="none" w:sz="0" w:space="0" w:color="auto"/>
            <w:left w:val="none" w:sz="0" w:space="0" w:color="auto"/>
            <w:bottom w:val="none" w:sz="0" w:space="0" w:color="auto"/>
            <w:right w:val="none" w:sz="0" w:space="0" w:color="auto"/>
          </w:divBdr>
          <w:divsChild>
            <w:div w:id="1078014739">
              <w:marLeft w:val="0"/>
              <w:marRight w:val="0"/>
              <w:marTop w:val="0"/>
              <w:marBottom w:val="0"/>
              <w:divBdr>
                <w:top w:val="none" w:sz="0" w:space="0" w:color="auto"/>
                <w:left w:val="none" w:sz="0" w:space="0" w:color="auto"/>
                <w:bottom w:val="none" w:sz="0" w:space="0" w:color="auto"/>
                <w:right w:val="none" w:sz="0" w:space="0" w:color="auto"/>
              </w:divBdr>
            </w:div>
            <w:div w:id="1695694237">
              <w:marLeft w:val="0"/>
              <w:marRight w:val="0"/>
              <w:marTop w:val="0"/>
              <w:marBottom w:val="0"/>
              <w:divBdr>
                <w:top w:val="none" w:sz="0" w:space="0" w:color="auto"/>
                <w:left w:val="none" w:sz="0" w:space="0" w:color="auto"/>
                <w:bottom w:val="none" w:sz="0" w:space="0" w:color="auto"/>
                <w:right w:val="none" w:sz="0" w:space="0" w:color="auto"/>
              </w:divBdr>
            </w:div>
          </w:divsChild>
        </w:div>
        <w:div w:id="1180893595">
          <w:marLeft w:val="0"/>
          <w:marRight w:val="0"/>
          <w:marTop w:val="0"/>
          <w:marBottom w:val="0"/>
          <w:divBdr>
            <w:top w:val="none" w:sz="0" w:space="0" w:color="auto"/>
            <w:left w:val="none" w:sz="0" w:space="0" w:color="auto"/>
            <w:bottom w:val="none" w:sz="0" w:space="0" w:color="auto"/>
            <w:right w:val="none" w:sz="0" w:space="0" w:color="auto"/>
          </w:divBdr>
        </w:div>
      </w:divsChild>
    </w:div>
    <w:div w:id="877081783">
      <w:bodyDiv w:val="1"/>
      <w:marLeft w:val="0"/>
      <w:marRight w:val="0"/>
      <w:marTop w:val="0"/>
      <w:marBottom w:val="0"/>
      <w:divBdr>
        <w:top w:val="none" w:sz="0" w:space="0" w:color="auto"/>
        <w:left w:val="none" w:sz="0" w:space="0" w:color="auto"/>
        <w:bottom w:val="none" w:sz="0" w:space="0" w:color="auto"/>
        <w:right w:val="none" w:sz="0" w:space="0" w:color="auto"/>
      </w:divBdr>
      <w:divsChild>
        <w:div w:id="988024117">
          <w:marLeft w:val="0"/>
          <w:marRight w:val="0"/>
          <w:marTop w:val="0"/>
          <w:marBottom w:val="0"/>
          <w:divBdr>
            <w:top w:val="none" w:sz="0" w:space="0" w:color="auto"/>
            <w:left w:val="none" w:sz="0" w:space="0" w:color="auto"/>
            <w:bottom w:val="none" w:sz="0" w:space="0" w:color="auto"/>
            <w:right w:val="none" w:sz="0" w:space="0" w:color="auto"/>
          </w:divBdr>
        </w:div>
      </w:divsChild>
    </w:div>
    <w:div w:id="1043560784">
      <w:bodyDiv w:val="1"/>
      <w:marLeft w:val="0"/>
      <w:marRight w:val="0"/>
      <w:marTop w:val="0"/>
      <w:marBottom w:val="0"/>
      <w:divBdr>
        <w:top w:val="none" w:sz="0" w:space="0" w:color="auto"/>
        <w:left w:val="none" w:sz="0" w:space="0" w:color="auto"/>
        <w:bottom w:val="none" w:sz="0" w:space="0" w:color="auto"/>
        <w:right w:val="none" w:sz="0" w:space="0" w:color="auto"/>
      </w:divBdr>
      <w:divsChild>
        <w:div w:id="2044400319">
          <w:marLeft w:val="0"/>
          <w:marRight w:val="0"/>
          <w:marTop w:val="0"/>
          <w:marBottom w:val="0"/>
          <w:divBdr>
            <w:top w:val="none" w:sz="0" w:space="0" w:color="auto"/>
            <w:left w:val="none" w:sz="0" w:space="0" w:color="auto"/>
            <w:bottom w:val="none" w:sz="0" w:space="0" w:color="auto"/>
            <w:right w:val="none" w:sz="0" w:space="0" w:color="auto"/>
          </w:divBdr>
        </w:div>
      </w:divsChild>
    </w:div>
    <w:div w:id="1081755725">
      <w:bodyDiv w:val="1"/>
      <w:marLeft w:val="0"/>
      <w:marRight w:val="0"/>
      <w:marTop w:val="0"/>
      <w:marBottom w:val="0"/>
      <w:divBdr>
        <w:top w:val="none" w:sz="0" w:space="0" w:color="auto"/>
        <w:left w:val="none" w:sz="0" w:space="0" w:color="auto"/>
        <w:bottom w:val="none" w:sz="0" w:space="0" w:color="auto"/>
        <w:right w:val="none" w:sz="0" w:space="0" w:color="auto"/>
      </w:divBdr>
      <w:divsChild>
        <w:div w:id="1446146968">
          <w:marLeft w:val="0"/>
          <w:marRight w:val="0"/>
          <w:marTop w:val="0"/>
          <w:marBottom w:val="0"/>
          <w:divBdr>
            <w:top w:val="none" w:sz="0" w:space="0" w:color="auto"/>
            <w:left w:val="none" w:sz="0" w:space="0" w:color="auto"/>
            <w:bottom w:val="none" w:sz="0" w:space="0" w:color="auto"/>
            <w:right w:val="none" w:sz="0" w:space="0" w:color="auto"/>
          </w:divBdr>
        </w:div>
      </w:divsChild>
    </w:div>
    <w:div w:id="1142113946">
      <w:bodyDiv w:val="1"/>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
      </w:divsChild>
    </w:div>
    <w:div w:id="1257055254">
      <w:bodyDiv w:val="1"/>
      <w:marLeft w:val="0"/>
      <w:marRight w:val="0"/>
      <w:marTop w:val="0"/>
      <w:marBottom w:val="0"/>
      <w:divBdr>
        <w:top w:val="none" w:sz="0" w:space="0" w:color="auto"/>
        <w:left w:val="none" w:sz="0" w:space="0" w:color="auto"/>
        <w:bottom w:val="none" w:sz="0" w:space="0" w:color="auto"/>
        <w:right w:val="none" w:sz="0" w:space="0" w:color="auto"/>
      </w:divBdr>
      <w:divsChild>
        <w:div w:id="989675943">
          <w:marLeft w:val="0"/>
          <w:marRight w:val="0"/>
          <w:marTop w:val="0"/>
          <w:marBottom w:val="0"/>
          <w:divBdr>
            <w:top w:val="none" w:sz="0" w:space="0" w:color="auto"/>
            <w:left w:val="none" w:sz="0" w:space="0" w:color="auto"/>
            <w:bottom w:val="none" w:sz="0" w:space="0" w:color="auto"/>
            <w:right w:val="none" w:sz="0" w:space="0" w:color="auto"/>
          </w:divBdr>
        </w:div>
      </w:divsChild>
    </w:div>
    <w:div w:id="131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57851268">
          <w:marLeft w:val="0"/>
          <w:marRight w:val="0"/>
          <w:marTop w:val="0"/>
          <w:marBottom w:val="0"/>
          <w:divBdr>
            <w:top w:val="none" w:sz="0" w:space="0" w:color="auto"/>
            <w:left w:val="none" w:sz="0" w:space="0" w:color="auto"/>
            <w:bottom w:val="none" w:sz="0" w:space="0" w:color="auto"/>
            <w:right w:val="none" w:sz="0" w:space="0" w:color="auto"/>
          </w:divBdr>
        </w:div>
      </w:divsChild>
    </w:div>
    <w:div w:id="1344238632">
      <w:bodyDiv w:val="1"/>
      <w:marLeft w:val="0"/>
      <w:marRight w:val="0"/>
      <w:marTop w:val="0"/>
      <w:marBottom w:val="0"/>
      <w:divBdr>
        <w:top w:val="none" w:sz="0" w:space="0" w:color="auto"/>
        <w:left w:val="none" w:sz="0" w:space="0" w:color="auto"/>
        <w:bottom w:val="none" w:sz="0" w:space="0" w:color="auto"/>
        <w:right w:val="none" w:sz="0" w:space="0" w:color="auto"/>
      </w:divBdr>
      <w:divsChild>
        <w:div w:id="685638815">
          <w:marLeft w:val="0"/>
          <w:marRight w:val="0"/>
          <w:marTop w:val="0"/>
          <w:marBottom w:val="0"/>
          <w:divBdr>
            <w:top w:val="none" w:sz="0" w:space="0" w:color="auto"/>
            <w:left w:val="none" w:sz="0" w:space="0" w:color="auto"/>
            <w:bottom w:val="none" w:sz="0" w:space="0" w:color="auto"/>
            <w:right w:val="none" w:sz="0" w:space="0" w:color="auto"/>
          </w:divBdr>
        </w:div>
      </w:divsChild>
    </w:div>
    <w:div w:id="154718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61584">
          <w:marLeft w:val="0"/>
          <w:marRight w:val="0"/>
          <w:marTop w:val="0"/>
          <w:marBottom w:val="0"/>
          <w:divBdr>
            <w:top w:val="none" w:sz="0" w:space="0" w:color="auto"/>
            <w:left w:val="none" w:sz="0" w:space="0" w:color="auto"/>
            <w:bottom w:val="none" w:sz="0" w:space="0" w:color="auto"/>
            <w:right w:val="none" w:sz="0" w:space="0" w:color="auto"/>
          </w:divBdr>
        </w:div>
      </w:divsChild>
    </w:div>
    <w:div w:id="1556509784">
      <w:bodyDiv w:val="1"/>
      <w:marLeft w:val="0"/>
      <w:marRight w:val="0"/>
      <w:marTop w:val="0"/>
      <w:marBottom w:val="0"/>
      <w:divBdr>
        <w:top w:val="none" w:sz="0" w:space="0" w:color="auto"/>
        <w:left w:val="none" w:sz="0" w:space="0" w:color="auto"/>
        <w:bottom w:val="none" w:sz="0" w:space="0" w:color="auto"/>
        <w:right w:val="none" w:sz="0" w:space="0" w:color="auto"/>
      </w:divBdr>
      <w:divsChild>
        <w:div w:id="1616325557">
          <w:marLeft w:val="0"/>
          <w:marRight w:val="0"/>
          <w:marTop w:val="0"/>
          <w:marBottom w:val="0"/>
          <w:divBdr>
            <w:top w:val="none" w:sz="0" w:space="0" w:color="auto"/>
            <w:left w:val="none" w:sz="0" w:space="0" w:color="auto"/>
            <w:bottom w:val="none" w:sz="0" w:space="0" w:color="auto"/>
            <w:right w:val="none" w:sz="0" w:space="0" w:color="auto"/>
          </w:divBdr>
        </w:div>
      </w:divsChild>
    </w:div>
    <w:div w:id="1702127484">
      <w:bodyDiv w:val="1"/>
      <w:marLeft w:val="0"/>
      <w:marRight w:val="0"/>
      <w:marTop w:val="0"/>
      <w:marBottom w:val="0"/>
      <w:divBdr>
        <w:top w:val="none" w:sz="0" w:space="0" w:color="auto"/>
        <w:left w:val="none" w:sz="0" w:space="0" w:color="auto"/>
        <w:bottom w:val="none" w:sz="0" w:space="0" w:color="auto"/>
        <w:right w:val="none" w:sz="0" w:space="0" w:color="auto"/>
      </w:divBdr>
      <w:divsChild>
        <w:div w:id="1806242450">
          <w:marLeft w:val="0"/>
          <w:marRight w:val="0"/>
          <w:marTop w:val="0"/>
          <w:marBottom w:val="0"/>
          <w:divBdr>
            <w:top w:val="none" w:sz="0" w:space="0" w:color="auto"/>
            <w:left w:val="none" w:sz="0" w:space="0" w:color="auto"/>
            <w:bottom w:val="none" w:sz="0" w:space="0" w:color="auto"/>
            <w:right w:val="none" w:sz="0" w:space="0" w:color="auto"/>
          </w:divBdr>
        </w:div>
      </w:divsChild>
    </w:div>
    <w:div w:id="170624910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52">
          <w:marLeft w:val="0"/>
          <w:marRight w:val="0"/>
          <w:marTop w:val="0"/>
          <w:marBottom w:val="0"/>
          <w:divBdr>
            <w:top w:val="none" w:sz="0" w:space="0" w:color="auto"/>
            <w:left w:val="none" w:sz="0" w:space="0" w:color="auto"/>
            <w:bottom w:val="none" w:sz="0" w:space="0" w:color="auto"/>
            <w:right w:val="none" w:sz="0" w:space="0" w:color="auto"/>
          </w:divBdr>
        </w:div>
      </w:divsChild>
    </w:div>
    <w:div w:id="1759210916">
      <w:bodyDiv w:val="1"/>
      <w:marLeft w:val="0"/>
      <w:marRight w:val="0"/>
      <w:marTop w:val="0"/>
      <w:marBottom w:val="0"/>
      <w:divBdr>
        <w:top w:val="none" w:sz="0" w:space="0" w:color="auto"/>
        <w:left w:val="none" w:sz="0" w:space="0" w:color="auto"/>
        <w:bottom w:val="none" w:sz="0" w:space="0" w:color="auto"/>
        <w:right w:val="none" w:sz="0" w:space="0" w:color="auto"/>
      </w:divBdr>
      <w:divsChild>
        <w:div w:id="1507356022">
          <w:marLeft w:val="0"/>
          <w:marRight w:val="0"/>
          <w:marTop w:val="0"/>
          <w:marBottom w:val="0"/>
          <w:divBdr>
            <w:top w:val="none" w:sz="0" w:space="0" w:color="auto"/>
            <w:left w:val="none" w:sz="0" w:space="0" w:color="auto"/>
            <w:bottom w:val="none" w:sz="0" w:space="0" w:color="auto"/>
            <w:right w:val="none" w:sz="0" w:space="0" w:color="auto"/>
          </w:divBdr>
        </w:div>
      </w:divsChild>
    </w:div>
    <w:div w:id="2020496877">
      <w:bodyDiv w:val="1"/>
      <w:marLeft w:val="0"/>
      <w:marRight w:val="0"/>
      <w:marTop w:val="0"/>
      <w:marBottom w:val="0"/>
      <w:divBdr>
        <w:top w:val="none" w:sz="0" w:space="0" w:color="auto"/>
        <w:left w:val="none" w:sz="0" w:space="0" w:color="auto"/>
        <w:bottom w:val="none" w:sz="0" w:space="0" w:color="auto"/>
        <w:right w:val="none" w:sz="0" w:space="0" w:color="auto"/>
      </w:divBdr>
      <w:divsChild>
        <w:div w:id="1806435735">
          <w:marLeft w:val="0"/>
          <w:marRight w:val="0"/>
          <w:marTop w:val="0"/>
          <w:marBottom w:val="0"/>
          <w:divBdr>
            <w:top w:val="none" w:sz="0" w:space="0" w:color="auto"/>
            <w:left w:val="none" w:sz="0" w:space="0" w:color="auto"/>
            <w:bottom w:val="none" w:sz="0" w:space="0" w:color="auto"/>
            <w:right w:val="none" w:sz="0" w:space="0" w:color="auto"/>
          </w:divBdr>
        </w:div>
      </w:divsChild>
    </w:div>
    <w:div w:id="2060592301">
      <w:bodyDiv w:val="1"/>
      <w:marLeft w:val="0"/>
      <w:marRight w:val="0"/>
      <w:marTop w:val="0"/>
      <w:marBottom w:val="0"/>
      <w:divBdr>
        <w:top w:val="none" w:sz="0" w:space="0" w:color="auto"/>
        <w:left w:val="none" w:sz="0" w:space="0" w:color="auto"/>
        <w:bottom w:val="none" w:sz="0" w:space="0" w:color="auto"/>
        <w:right w:val="none" w:sz="0" w:space="0" w:color="auto"/>
      </w:divBdr>
      <w:divsChild>
        <w:div w:id="2104448790">
          <w:marLeft w:val="0"/>
          <w:marRight w:val="0"/>
          <w:marTop w:val="0"/>
          <w:marBottom w:val="0"/>
          <w:divBdr>
            <w:top w:val="none" w:sz="0" w:space="0" w:color="auto"/>
            <w:left w:val="none" w:sz="0" w:space="0" w:color="auto"/>
            <w:bottom w:val="none" w:sz="0" w:space="0" w:color="auto"/>
            <w:right w:val="none" w:sz="0" w:space="0" w:color="auto"/>
          </w:divBdr>
        </w:div>
      </w:divsChild>
    </w:div>
    <w:div w:id="2069063921">
      <w:bodyDiv w:val="1"/>
      <w:marLeft w:val="0"/>
      <w:marRight w:val="0"/>
      <w:marTop w:val="0"/>
      <w:marBottom w:val="0"/>
      <w:divBdr>
        <w:top w:val="none" w:sz="0" w:space="0" w:color="auto"/>
        <w:left w:val="none" w:sz="0" w:space="0" w:color="auto"/>
        <w:bottom w:val="none" w:sz="0" w:space="0" w:color="auto"/>
        <w:right w:val="none" w:sz="0" w:space="0" w:color="auto"/>
      </w:divBdr>
      <w:divsChild>
        <w:div w:id="182898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2020-04-20T12:33:00Z</dcterms:created>
  <dcterms:modified xsi:type="dcterms:W3CDTF">2020-04-20T12:33:00Z</dcterms:modified>
</cp:coreProperties>
</file>