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4270A9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Письмо Министерства здравоохранения РФ от 2 ноября 2020 г. </w:t>
      </w:r>
      <w:r w:rsidRPr="001B71A8">
        <w:rPr>
          <w:rFonts w:ascii="Times New Roman" w:eastAsia="Times New Roman" w:hAnsi="Times New Roman" w:cs="Times New Roman"/>
          <w:sz w:val="34"/>
          <w:szCs w:val="34"/>
          <w:lang w:eastAsia="ru-RU"/>
        </w:rPr>
        <w:t>№</w:t>
      </w:r>
      <w:r w:rsidRPr="004270A9">
        <w:rPr>
          <w:rFonts w:ascii="Times New Roman" w:eastAsia="Times New Roman" w:hAnsi="Times New Roman" w:cs="Times New Roman"/>
          <w:sz w:val="34"/>
          <w:szCs w:val="34"/>
          <w:lang w:eastAsia="ru-RU"/>
        </w:rPr>
        <w:t> 25-3/И/2-16610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Министерство здравоохранения Российской Федерации рассмотрело письмо Правительства Ярославской области от 05.10.2020 г. 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01-11235/20 по вопросам применения норм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приказа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Министерства здравоохранения Российской Федерации от 15.05.2020 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450н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- приказ 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450н) и сообщает следующее.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Положением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о Министерстве здравоохранения Российской Федерации, утвержденным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постановлением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Правительства Российской Федерации от 19.06.2012 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608, Минздрав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обращения медицинских изделий.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Настоящее письмо не содержит правовых норм или общих правил, конкретизирующих нормативные предписания, и не является нормативным правовым актом, а имеет информационно-разъяснительный характер по вопросам применения норм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приказа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450н.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частью 22 статьи 22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Федерального закона от 05.04.2013 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44-ФЗ) Правительство Российской Федерации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постановлением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от 02.07.2019 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847 "О федеральном органе исполнительной власти, уполномоченном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установило, что при осуществлении закупок медицинских изделий порядок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устанавливается Министерством здравоохранения Российской Федерации по согласованию с Министерством финансов Российской Федерации.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Соответствующий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порядок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установлен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приказом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Минздрава России от 15.05.2020 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450н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- Порядок).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Согласно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пункту 9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Порядка начальная цена единицы медицинского изделия (далее - НЦЕ), цена единицы медицинского изделия (далее - ЦЕМ) и (или) СРМ, и (или) СТО для медицинских изделий, не указанных в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пунктах 2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и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настоящего порядка, устанавливается как средневзвешенное значение (либо не более средневзвешенной цены) собранных заказчиком цен без учета НДС посредством использования одного или совокупности следующих методов: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а) метода сопоставимых рыночных цен (анализа рынка) в соответствии с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частями 2 - 6 статьи 22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о контрактной системе;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б) на основе информации, содержащейся в реестре контрактов, подтверждающей исполнение участником (без учета правопреемства) в течение 3 лет до даты подачи заявки на участие в закупке 3 контрактов, исполненных без применения к такому участнику неустоек (штрафов, пеней).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Заказчиком при расчете НЦЕ, ЦЕМ и (или) СРМ, и (или) СТО для медицинских изделий, не указанных в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пунктах 2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и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Порядка, устанавливается как средневзвешенное значение (либо не более средневзвешенной цены) собранных заказчиком цен без учета НДС.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Средневзвешенная цена (товара, работы, услуги) определяется как отношение суммы произведений рассматриваемых объемов поставки (купли-продажи, передачи) к суммарному объему поставки (купли-продажи, передачи) таких товаров, работ, услуг. Средневзвешенная цена может быть рассчитана с помощью стандартных функций табличных редакторов.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Относительно вопроса применения Порядка в случае, если финансирование выделено только на закупку оборудования без расходных материалов, полагаем, что в ситуации, когда производителем учтена стоимость всех необходимых расходных материалов и (или) оказание всех необходимых услуг по техническому обслуживанию для правильной и безопасной эксплуатации медицинского изделия в гарантийный период, при расчете начальной цены единицы медицинского изделия (НЦЕ), по формулам, указанным в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пунктах 14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15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и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16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Порядка. Стоимость расходных материалов (СРМ) и (или) стоимость технического обслуживания (СТО) может быть указана равной нулю, при условии предоставления соответствующих разъяснений производителя (поставщика).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То есть заказчик, применяя положения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Порядка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, получает возможность при формировании НЦЕ учесть все имеющиеся особенности структуры ценообразования на медицинские изделия, в том числе по учету стоимости расходных материалов и услуг по техническому обслуживанию, и сформировать НЦЕ с учетом сопоставимых с условиями планируемой закупки коммерческих и (или) финансовых условий поставок товаров, выполнения работ, оказания услуг, соответствующих описанию объекта закупки или идентичных, существующих у различных производителей и (или) поставщиков.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Дополнительно отмечаем, что Минфин России в соответствии с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Положением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о Министерстве финансов Российской Федерации, утвержденным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постановлением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Правительства Российской Федерации от 30.06.2004 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329,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 деятельности, в сфере осуществления закупок товаров, работ, услуг для обеспечения государственных и муниципальных нужд.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Согласно разъяснениям Минфина России по данному вопросу (например, письма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от 15.05.2019 № 24-01-07/34829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от 12.05.2020 № 24-01-08/38165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и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от 19.05.2020 № 24-01-06/40971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) в соответствии с пунктом 4 </w:t>
      </w:r>
      <w:hyperlink r:id="rId4" w:anchor="/document/70353464/entry/341" w:history="1">
        <w:r w:rsidRPr="001B71A8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части 1 статьи 34</w:t>
        </w:r>
      </w:hyperlink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Закона 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этом в соответствии с положениями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Закона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о контрактной системе при осуществлении закупки в извещении и документации о закупке заказчиком устанавливается начальная (максимальная) цена контракта.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Начальная (максимальная) цена контракта и в предусмотренных Законом о контрактной системе случаях цена контракта, заключаемого с единственным поставщиком (подрядчиком, исполнителем) (далее - НМЦК), определяются в соответствии с положениями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статьи 22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о контрактной системе.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 случае применения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То есть запрос заказчика на предоставление ценовой информации может содержать, в том числе описание объекта закупки, исполнения контракта, заключаемого по результатам закупки, включая требования к порядку поставки продукции, выполнению работ, оказанию услуг, предполагаемые сроки проведения закупки, порядок оплаты, размер обеспечения исполнения контракта, требования к гарантийному сроку товара, работы, услуги и (или) объему предоставления гарантий их качества, сроки предоставления ценовой информации, а также указание о том, что из ответа на запрос должны однозначно определяться цена единицы товара, работы, услуги и общая цена контракта на условиях, указанных в запросе, срок действия предлагаемой цены, расчет такой цены с целью предупреждения намеренного завышения или занижения цен товаров, работ, услуг.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Одновременно, согласно разъяснениям Минфина России, при установлении начальной (максимальной) цены контракта заказчику необходимо учитывать все факторы, влияющие на цену, в том числе налоговые платежи, предусмотренные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Налоговым кодексом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Российской Федерации (далее - Кодекс).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частью 24 статьи 22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Закона 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статьей 34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и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статьей 95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Закона 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44-ФЗ (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часть 2 статьи 34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Закона 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44-ФЗ).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Победитель при формировании своего ценового предложения предлагает цену контракта с учетом всех накладных расходов, а также налогов и сборов, которые он обязан уплатить в соответствии с положениями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Налогового кодекса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Российской Федерации (далее - Кодекс).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Таким образом, с учетом положений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Закона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44-ФЗ контракт заключается и оплачивается заказчиком по цене победителя закупок.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Сумма, предусмотренная контрактом, должна быть уплачена победителю закупок в установленном контрактом размере.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этом в соответствии с </w:t>
      </w:r>
      <w:hyperlink r:id="rId5" w:anchor="/document/10900200/entry/17351" w:history="1">
        <w:r w:rsidRPr="001B71A8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подпунктом 1 пункта 5 статьи 173</w:t>
        </w:r>
      </w:hyperlink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Кодекса в случае выставления ими покупателю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счета-фактуры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с выделением суммы налога на добавленную стоимость эти суммы налога подлежат уплате в бюджет в полном объеме.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Минфин России также отмечает, что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пунктом 5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постановления Пленума Высшего Арбитражного Суда Российской Федерации от 30.05.2014 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33 разъяснено, что возникновение в данном случае обязанности по перечислению в бюджет налога на добавленную стоимость не 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означает, что выставившее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счет-фактуру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лицо приобретает в отношении таких операций статус налогоплательщика, в том числе право на применение налоговых вычетов.</w:t>
      </w:r>
    </w:p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На указанное лицо возлагается лишь обязанность перечислить в бюджет налог, размер которого в силу прямого указания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пункта 5 статьи 173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Кодекса определяется исходя из суммы, отраженной в соответствующем счете-фактуре, выставленном покупателю. Возможность уменьшения этой суммы на налоговые вычеты приведенной нормой либо иными положениями </w:t>
      </w:r>
      <w:r w:rsidRPr="001B71A8">
        <w:rPr>
          <w:rFonts w:ascii="Times New Roman" w:eastAsia="Times New Roman" w:hAnsi="Times New Roman" w:cs="Times New Roman"/>
          <w:sz w:val="23"/>
          <w:szCs w:val="23"/>
          <w:lang w:eastAsia="ru-RU"/>
        </w:rPr>
        <w:t>главы 21</w:t>
      </w: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Кодекса не предусмотрена.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1B71A8" w:rsidRPr="001B71A8" w:rsidTr="004270A9">
        <w:tc>
          <w:tcPr>
            <w:tcW w:w="3300" w:type="pct"/>
            <w:shd w:val="clear" w:color="auto" w:fill="FFFFFF"/>
            <w:vAlign w:val="bottom"/>
            <w:hideMark/>
          </w:tcPr>
          <w:p w:rsidR="004270A9" w:rsidRPr="004270A9" w:rsidRDefault="004270A9" w:rsidP="00427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270A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4270A9" w:rsidRPr="004270A9" w:rsidRDefault="004270A9" w:rsidP="00427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270A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B.C. Фисенко</w:t>
            </w:r>
          </w:p>
        </w:tc>
      </w:tr>
    </w:tbl>
    <w:p w:rsidR="004270A9" w:rsidRPr="004270A9" w:rsidRDefault="004270A9" w:rsidP="00427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70A9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bookmarkStart w:id="0" w:name="_GoBack"/>
      <w:bookmarkEnd w:id="0"/>
    </w:p>
    <w:p w:rsidR="00034B87" w:rsidRPr="001B71A8" w:rsidRDefault="001B71A8"/>
    <w:sectPr w:rsidR="00034B87" w:rsidRPr="001B7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0A9"/>
    <w:rsid w:val="001B71A8"/>
    <w:rsid w:val="004270A9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AE398-ED33-4389-9E6C-09679EF9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27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27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270A9"/>
    <w:rPr>
      <w:color w:val="0000FF"/>
      <w:u w:val="single"/>
    </w:rPr>
  </w:style>
  <w:style w:type="paragraph" w:customStyle="1" w:styleId="empty">
    <w:name w:val="empty"/>
    <w:basedOn w:val="a"/>
    <w:rsid w:val="00427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8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2021-02-05T09:45:00Z</dcterms:created>
  <dcterms:modified xsi:type="dcterms:W3CDTF">2021-02-05T09:57:00Z</dcterms:modified>
</cp:coreProperties>
</file>