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0AB" w:rsidRPr="002A30AB" w:rsidRDefault="002A30AB" w:rsidP="002A30AB">
      <w:pPr>
        <w:shd w:val="clear" w:color="auto" w:fill="FFFFFF"/>
        <w:spacing w:after="255" w:line="300" w:lineRule="atLeast"/>
        <w:outlineLvl w:val="1"/>
        <w:rPr>
          <w:rFonts w:ascii="Arial" w:eastAsia="Times New Roman" w:hAnsi="Arial" w:cs="Arial"/>
          <w:b/>
          <w:bCs/>
          <w:color w:val="4D4D4D"/>
          <w:sz w:val="27"/>
          <w:szCs w:val="27"/>
          <w:lang w:eastAsia="ru-RU"/>
        </w:rPr>
      </w:pPr>
      <w:r w:rsidRPr="002A30AB">
        <w:rPr>
          <w:rFonts w:ascii="Arial" w:eastAsia="Times New Roman" w:hAnsi="Arial" w:cs="Arial"/>
          <w:b/>
          <w:bCs/>
          <w:color w:val="4D4D4D"/>
          <w:sz w:val="27"/>
          <w:szCs w:val="27"/>
          <w:lang w:eastAsia="ru-RU"/>
        </w:rPr>
        <w:t xml:space="preserve">Письмо Минфина России и Федеральной антимонопольной службы от 8 декабря 2020 г. №№ 24-02-08/107795, МЕ/107414-ПР/20 “О позиции Минфина России и ФАС России по вопросам, связанным с оказанием медицинской помощи военнослужащим и лицам, приравненным по </w:t>
      </w:r>
      <w:bookmarkStart w:id="0" w:name="_GoBack"/>
      <w:bookmarkEnd w:id="0"/>
      <w:r w:rsidRPr="002A30AB">
        <w:rPr>
          <w:rFonts w:ascii="Arial" w:eastAsia="Times New Roman" w:hAnsi="Arial" w:cs="Arial"/>
          <w:b/>
          <w:bCs/>
          <w:color w:val="4D4D4D"/>
          <w:sz w:val="27"/>
          <w:szCs w:val="27"/>
          <w:lang w:eastAsia="ru-RU"/>
        </w:rPr>
        <w:t>медицинскому обеспечению к военнослужащим, медицинскими организациями”</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В связи с поступающими вопросами о необходимости применения Федерального закона от 05.04.2013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44-ФЗ), связанными с оказанием медицинской помощи военнослужащим и лицам, приравненным по медицинскому обеспечению к военнослужащим, медицинскими организациями, Минфин России и ФАС России сообщают следующее.</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В соответствии со статьей 1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44-ФЗ данный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Отношения, связанные с медицинским обеспечением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 граждан Российской Федерации, уволенных со службы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членов их семей и лиц, находящихся (находившихся) на их иждивении, сотрудников органов внутренних дел Российской Федерации, отдельных категорий граждан Российской Федерации, уволенных со службы в органах внутренних дел, органах по контролю за оборотом наркотических средств и психотропных веществ, членов их семей и лиц, находящимся на их иждивении, регулируются, в том числе положениями Федеральных законов от 30.12.2012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283-ФЗ "О социальных гарантиях сотрудникам некоторых органов исполнительной власти и внесение изменений в отдельные законодательные акты Российской Федерации" и от 19.07.2011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(далее - Закон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283-ФЗ, Закон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247-ФЗ).</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Частью 2 статьи 10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283-ФЗ и частью 2 статьи 11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247-ФЗ установлено, что при отсутствии по месту службы, месту жительства или иному месту нахождения сотрудника медицинских организаций уполномоченного федерального органа исполнительной власти либо при отсутствии в них соответствующих отделений или специального медицинского оборудования медицинское обеспечение сотрудника осуществляется в иных медицинских организациях государственной системы здравоохранения или муниципальной системы здравоохранения.</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При этом положения частей 1 и 8 статьи 21, статьи 25 Федерального закона от 21.11.2011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323-ФЗ "Об основах охраны здоровья граждан в Российской Федерации", часть 2 статьи 10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283-ФЗ, часть 2 статьи 11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247-ФЗ не содержат специальных положений о том, кто именно выбирает медицинскую организацию при отсутствии ведомственных медицинских организаций по месту службы, месту жительства или иному месту нахождения сотрудника.</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lastRenderedPageBreak/>
        <w:t xml:space="preserve">Порядок медицинского обеспечения сотрудника и возмещения расходов указанным организациям установлен, в том числе постановлением Правительства Российской Федерации от 31.12.2004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911 "О порядке оказания медицинской помощи, санаторно-курортного обеспечения и осуществления отдельных выплат некоторым категориям военнослужащих, сотрудников правоохранительных органов и членам их семей, а также отдельным категориям граждан, уволенных с военной службы" и постановлением Правительства Российской Федерации от 15.12.2018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1563 "О порядке оказания сотрудникам органов внутренних дел Российской Федерации, отдельным категориям граждан Российской Федерации, уволенных со службы в органах внутренних дел, органах по контролю за оборотом наркотических средств и психотропных веществ, членам их семей и лицам, находящимся на их иждивении, медицинской помощи и обеспечения их санаторно-курортным лечением" (далее - Постановление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911; Правила оказания медицинской помощи, утвержденные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911; Правила возмещения, утвержденные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911; Постановление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1563, Правила оказания медицинской помощи, утвержденные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1563).</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В соответствии с пунктом 5 Правил оказания медицинской помощи, утвержденных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911, при отсутствии по месту военной службы (службы), месту жительства (проживания) или иному месту нахождения военнослужащих (сотрудников) медицинских организаций Министерства внутренних дел Российской Федерации, медицинских организаций Федеральной службы войск национальной гвардии Российской Федерации, а также при наличии медицинских показаний к оказанию медицинской помощи в экстренной и неотложной формах медицинская помощь оказывается в медицинских организациях государственной или муниципальной системы здравоохранения с возмещением расходов по оказанию медицинской помощи этим организациям здравоохранения соответствующими федеральными органами исполнительной власти.</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Согласно пункту 4 Правил оказания медицинской помощи, утвержденных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1563, при отсутствии по их месту службы, месту жительства или иному месту нахождения медицинских организаций Министерства внутренних дел Российской Федерации или медицинских организаций Федеральной службы войск национальной гвардии Российской Федерации либо при отсутствии в них отделений соответствующего профиля, специалистов или специального медицинского оборудования направление сотрудников для оказания медицинской помощи в плановой форме в медицинские организации осуществляется:</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а) медико-санитарной частью, осуществляющей медицинское обеспечение прикрепленных к ней сотрудников, заключившей договор;</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б) иной медицинской организацией Министерства внутренних дел Российской Федерации, оказывающей медицинскую помощь в амбулаторных условиях и осуществляющей медицинское обеспечение прикрепленных к ней сотрудников, по согласованию с соответствующей медико-санитарной частью, заключившей договор.</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При этом положениями Правил оказания медицинской помощи, утвержденных Постановлением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1563, не установлен порядок выбора медицинской организации для оказания медицинской помощи в экстренной или неотложной форме сотрудникам.</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Таким образом:</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lastRenderedPageBreak/>
        <w:t xml:space="preserve">1) в случае, если выбор медицинской организации осуществляется непосредственно получателем (военнослужащим или лицом, приравненным по медицинскому обеспечению к военнослужащему) медицинских услуг, то последующее возмещение медицинским организациям расходов на оказание медицинской помощи не является закупкой в понимании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44-ФЗ (аналогично возмещению расходов в соответствии с Федеральным законом от 08.05.1994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3-ФЗ "О статусе члена Совета Федерации и статусе депутата Государственной Думы Федерального Собрания Российской Федерации");</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2) в случае, если выбор медицинской организации осуществляет соответствующий орган исполнительной власти (а не военнослужащий или лицо, приравненное по медицинскому обеспечению к военнослужащему) путем осуществления закупки и заключения с медицинской организацией контракта - заключение такого контракта осуществляется в порядке, установленном Законом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44-ФЗ, при этом:</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а) при необходимости закупки на оказание медицинской помощи в неотложной или экстренной форме контракт может быть заключен с единственным исполнителем на основании пункта 9 части 1 статьи 93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44-ФЗ, предусматривающего возможность такой закупки в требуемом объеме и вне зависимости от возникновения обстоятельств непреодолимой силы, чрезвычайной ситуации;</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б) при необходимости закупки на оказание плановой медицинской помощи - закупка осуществляется по общему правилу путем выбора соответствующего способа определения поставщика (подрядчика, исполнителя).</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При этом:</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закупки в отношении плановой медицинской помощи не носят чрезвычайного характера и могут быть осуществлены заблаговременно на длительный срок исполнения контракта (по общему правилу на срок действия федерального закона о федеральном бюджете на очередной финансовый год и плановый период - на 3 года);</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закупка может быть проведена по цене за единицу товара, работы, услуги, если объем оказываемых услуг невозможно определить. В этом случае заказчик определяет начальную сумму цен единиц всех возможных закупаемых услуг, а также максимальное (то есть предельное) значение цены контракта;</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 xml:space="preserve">в целях исключения случаев </w:t>
      </w:r>
      <w:proofErr w:type="spellStart"/>
      <w:r w:rsidRPr="002A30AB">
        <w:rPr>
          <w:rFonts w:ascii="Arial" w:eastAsia="Times New Roman" w:hAnsi="Arial" w:cs="Arial"/>
          <w:color w:val="333333"/>
          <w:sz w:val="23"/>
          <w:szCs w:val="23"/>
          <w:lang w:eastAsia="ru-RU"/>
        </w:rPr>
        <w:t>незаключения</w:t>
      </w:r>
      <w:proofErr w:type="spellEnd"/>
      <w:r w:rsidRPr="002A30AB">
        <w:rPr>
          <w:rFonts w:ascii="Arial" w:eastAsia="Times New Roman" w:hAnsi="Arial" w:cs="Arial"/>
          <w:color w:val="333333"/>
          <w:sz w:val="23"/>
          <w:szCs w:val="23"/>
          <w:lang w:eastAsia="ru-RU"/>
        </w:rPr>
        <w:t xml:space="preserve"> контракта по причине отсутствия заявок в Закон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xml:space="preserve"> 44-ФЗ ранее внесены изменения, допускающие заключение контракта с участником закупки по выбору заказчика на основании части 27 статьи 83.1 Закона </w:t>
      </w:r>
      <w:r>
        <w:rPr>
          <w:rFonts w:ascii="Arial" w:eastAsia="Times New Roman" w:hAnsi="Arial" w:cs="Arial"/>
          <w:color w:val="333333"/>
          <w:sz w:val="23"/>
          <w:szCs w:val="23"/>
          <w:lang w:eastAsia="ru-RU"/>
        </w:rPr>
        <w:t>№</w:t>
      </w:r>
      <w:r w:rsidRPr="002A30AB">
        <w:rPr>
          <w:rFonts w:ascii="Arial" w:eastAsia="Times New Roman" w:hAnsi="Arial" w:cs="Arial"/>
          <w:color w:val="333333"/>
          <w:sz w:val="23"/>
          <w:szCs w:val="23"/>
          <w:lang w:eastAsia="ru-RU"/>
        </w:rPr>
        <w:t> 44-ФЗ по согласованию с контрольным органом в сфере закупок.</w:t>
      </w:r>
    </w:p>
    <w:p w:rsidR="002A30AB" w:rsidRPr="002A30AB" w:rsidRDefault="002A30AB" w:rsidP="002A30AB">
      <w:pPr>
        <w:shd w:val="clear" w:color="auto" w:fill="FFFFFF"/>
        <w:spacing w:after="255" w:line="270" w:lineRule="atLeast"/>
        <w:rPr>
          <w:rFonts w:ascii="Arial" w:eastAsia="Times New Roman" w:hAnsi="Arial" w:cs="Arial"/>
          <w:color w:val="333333"/>
          <w:sz w:val="23"/>
          <w:szCs w:val="23"/>
          <w:lang w:eastAsia="ru-RU"/>
        </w:rPr>
      </w:pPr>
      <w:r w:rsidRPr="002A30AB">
        <w:rPr>
          <w:rFonts w:ascii="Arial" w:eastAsia="Times New Roman" w:hAnsi="Arial" w:cs="Arial"/>
          <w:color w:val="333333"/>
          <w:sz w:val="23"/>
          <w:szCs w:val="23"/>
          <w:lang w:eastAsia="ru-RU"/>
        </w:rPr>
        <w:t>Настоящее письмо не является правовым актом и носит информационный характер.</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326"/>
        <w:gridCol w:w="2326"/>
      </w:tblGrid>
      <w:tr w:rsidR="002A30AB" w:rsidRPr="002A30AB" w:rsidTr="002A30AB">
        <w:tc>
          <w:tcPr>
            <w:tcW w:w="2500" w:type="pct"/>
            <w:shd w:val="clear" w:color="auto" w:fill="FFFFFF"/>
            <w:hideMark/>
          </w:tcPr>
          <w:p w:rsidR="002A30AB" w:rsidRPr="002A30AB" w:rsidRDefault="002A30AB" w:rsidP="002A30AB">
            <w:pPr>
              <w:spacing w:after="0" w:line="240" w:lineRule="auto"/>
              <w:rPr>
                <w:rFonts w:ascii="Arial" w:eastAsia="Times New Roman" w:hAnsi="Arial" w:cs="Arial"/>
                <w:color w:val="333333"/>
                <w:sz w:val="21"/>
                <w:szCs w:val="21"/>
                <w:lang w:eastAsia="ru-RU"/>
              </w:rPr>
            </w:pPr>
            <w:r w:rsidRPr="002A30AB">
              <w:rPr>
                <w:rFonts w:ascii="Arial" w:eastAsia="Times New Roman" w:hAnsi="Arial" w:cs="Arial"/>
                <w:color w:val="333333"/>
                <w:sz w:val="21"/>
                <w:szCs w:val="21"/>
                <w:lang w:eastAsia="ru-RU"/>
              </w:rPr>
              <w:t>Заместитель</w:t>
            </w:r>
            <w:r w:rsidRPr="002A30AB">
              <w:rPr>
                <w:rFonts w:ascii="Arial" w:eastAsia="Times New Roman" w:hAnsi="Arial" w:cs="Arial"/>
                <w:color w:val="333333"/>
                <w:sz w:val="21"/>
                <w:szCs w:val="21"/>
                <w:lang w:eastAsia="ru-RU"/>
              </w:rPr>
              <w:br/>
              <w:t>Министра финансов</w:t>
            </w:r>
            <w:r w:rsidRPr="002A30AB">
              <w:rPr>
                <w:rFonts w:ascii="Arial" w:eastAsia="Times New Roman" w:hAnsi="Arial" w:cs="Arial"/>
                <w:color w:val="333333"/>
                <w:sz w:val="21"/>
                <w:szCs w:val="21"/>
                <w:lang w:eastAsia="ru-RU"/>
              </w:rPr>
              <w:br/>
              <w:t>Российской Федерации</w:t>
            </w:r>
          </w:p>
        </w:tc>
        <w:tc>
          <w:tcPr>
            <w:tcW w:w="2500" w:type="pct"/>
            <w:shd w:val="clear" w:color="auto" w:fill="FFFFFF"/>
            <w:hideMark/>
          </w:tcPr>
          <w:p w:rsidR="002A30AB" w:rsidRPr="002A30AB" w:rsidRDefault="002A30AB" w:rsidP="002A30AB">
            <w:pPr>
              <w:spacing w:after="0" w:line="240" w:lineRule="auto"/>
              <w:rPr>
                <w:rFonts w:ascii="Arial" w:eastAsia="Times New Roman" w:hAnsi="Arial" w:cs="Arial"/>
                <w:color w:val="333333"/>
                <w:sz w:val="21"/>
                <w:szCs w:val="21"/>
                <w:lang w:eastAsia="ru-RU"/>
              </w:rPr>
            </w:pPr>
            <w:r w:rsidRPr="002A30AB">
              <w:rPr>
                <w:rFonts w:ascii="Arial" w:eastAsia="Times New Roman" w:hAnsi="Arial" w:cs="Arial"/>
                <w:color w:val="333333"/>
                <w:sz w:val="21"/>
                <w:szCs w:val="21"/>
                <w:lang w:eastAsia="ru-RU"/>
              </w:rPr>
              <w:t>A.M. Лавров</w:t>
            </w:r>
          </w:p>
        </w:tc>
      </w:tr>
    </w:tbl>
    <w:p w:rsidR="002A30AB" w:rsidRPr="002A30AB" w:rsidRDefault="002A30AB" w:rsidP="002A30AB">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768"/>
        <w:gridCol w:w="2768"/>
      </w:tblGrid>
      <w:tr w:rsidR="002A30AB" w:rsidRPr="002A30AB" w:rsidTr="002A30AB">
        <w:tc>
          <w:tcPr>
            <w:tcW w:w="2500" w:type="pct"/>
            <w:shd w:val="clear" w:color="auto" w:fill="FFFFFF"/>
            <w:hideMark/>
          </w:tcPr>
          <w:p w:rsidR="002A30AB" w:rsidRPr="002A30AB" w:rsidRDefault="002A30AB" w:rsidP="002A30AB">
            <w:pPr>
              <w:spacing w:after="0" w:line="240" w:lineRule="auto"/>
              <w:rPr>
                <w:rFonts w:ascii="Arial" w:eastAsia="Times New Roman" w:hAnsi="Arial" w:cs="Arial"/>
                <w:color w:val="333333"/>
                <w:sz w:val="21"/>
                <w:szCs w:val="21"/>
                <w:lang w:eastAsia="ru-RU"/>
              </w:rPr>
            </w:pPr>
            <w:r w:rsidRPr="002A30AB">
              <w:rPr>
                <w:rFonts w:ascii="Arial" w:eastAsia="Times New Roman" w:hAnsi="Arial" w:cs="Arial"/>
                <w:color w:val="333333"/>
                <w:sz w:val="21"/>
                <w:szCs w:val="21"/>
                <w:lang w:eastAsia="ru-RU"/>
              </w:rPr>
              <w:t>Заместитель</w:t>
            </w:r>
            <w:r w:rsidRPr="002A30AB">
              <w:rPr>
                <w:rFonts w:ascii="Arial" w:eastAsia="Times New Roman" w:hAnsi="Arial" w:cs="Arial"/>
                <w:color w:val="333333"/>
                <w:sz w:val="21"/>
                <w:szCs w:val="21"/>
                <w:lang w:eastAsia="ru-RU"/>
              </w:rPr>
              <w:br/>
              <w:t>руководителя Федеральной</w:t>
            </w:r>
            <w:r w:rsidRPr="002A30AB">
              <w:rPr>
                <w:rFonts w:ascii="Arial" w:eastAsia="Times New Roman" w:hAnsi="Arial" w:cs="Arial"/>
                <w:color w:val="333333"/>
                <w:sz w:val="21"/>
                <w:szCs w:val="21"/>
                <w:lang w:eastAsia="ru-RU"/>
              </w:rPr>
              <w:br/>
              <w:t>антимонопольной службы</w:t>
            </w:r>
          </w:p>
        </w:tc>
        <w:tc>
          <w:tcPr>
            <w:tcW w:w="2500" w:type="pct"/>
            <w:shd w:val="clear" w:color="auto" w:fill="FFFFFF"/>
            <w:hideMark/>
          </w:tcPr>
          <w:p w:rsidR="002A30AB" w:rsidRPr="002A30AB" w:rsidRDefault="002A30AB" w:rsidP="002A30AB">
            <w:pPr>
              <w:spacing w:after="0" w:line="240" w:lineRule="auto"/>
              <w:rPr>
                <w:rFonts w:ascii="Arial" w:eastAsia="Times New Roman" w:hAnsi="Arial" w:cs="Arial"/>
                <w:color w:val="333333"/>
                <w:sz w:val="21"/>
                <w:szCs w:val="21"/>
                <w:lang w:eastAsia="ru-RU"/>
              </w:rPr>
            </w:pPr>
            <w:r w:rsidRPr="002A30AB">
              <w:rPr>
                <w:rFonts w:ascii="Arial" w:eastAsia="Times New Roman" w:hAnsi="Arial" w:cs="Arial"/>
                <w:color w:val="333333"/>
                <w:sz w:val="21"/>
                <w:szCs w:val="21"/>
                <w:lang w:eastAsia="ru-RU"/>
              </w:rPr>
              <w:t xml:space="preserve">М.Я. </w:t>
            </w:r>
            <w:proofErr w:type="spellStart"/>
            <w:r w:rsidRPr="002A30AB">
              <w:rPr>
                <w:rFonts w:ascii="Arial" w:eastAsia="Times New Roman" w:hAnsi="Arial" w:cs="Arial"/>
                <w:color w:val="333333"/>
                <w:sz w:val="21"/>
                <w:szCs w:val="21"/>
                <w:lang w:eastAsia="ru-RU"/>
              </w:rPr>
              <w:t>Евраев</w:t>
            </w:r>
            <w:proofErr w:type="spellEnd"/>
          </w:p>
        </w:tc>
      </w:tr>
    </w:tbl>
    <w:p w:rsidR="00034B87" w:rsidRDefault="002A30AB"/>
    <w:sectPr w:rsidR="00034B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0AB"/>
    <w:rsid w:val="002A30AB"/>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F43804-84A5-4DF3-BC47-6095FE27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A30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30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A30AB"/>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861317">
      <w:bodyDiv w:val="1"/>
      <w:marLeft w:val="0"/>
      <w:marRight w:val="0"/>
      <w:marTop w:val="0"/>
      <w:marBottom w:val="0"/>
      <w:divBdr>
        <w:top w:val="none" w:sz="0" w:space="0" w:color="auto"/>
        <w:left w:val="none" w:sz="0" w:space="0" w:color="auto"/>
        <w:bottom w:val="none" w:sz="0" w:space="0" w:color="auto"/>
        <w:right w:val="none" w:sz="0" w:space="0" w:color="auto"/>
      </w:divBdr>
    </w:div>
    <w:div w:id="136964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1363</Words>
  <Characters>7775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2021-02-09T10:41:00Z</dcterms:created>
  <dcterms:modified xsi:type="dcterms:W3CDTF">2021-02-09T10:44:00Z</dcterms:modified>
</cp:coreProperties>
</file>