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МИНИСТЕРСТВО ФИНАНСОВ РОССИЙСКОЙ ФЕДЕРАЦИИ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ПИСЬМО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от 28.08.2020 г. № 24-03-08/75651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удержания средств, предоставленных в качестве обеспечения исполнения контракта, в рамках своей компетенции сообщает следующее.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Вместе с тем полагаем необходимым отметить, что 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 (далее - ГК РФ), Бюджетного кодекса Российской Федерации и состоит из Закона № 44-ФЗ и других федеральных законов, регулирующих отношения, указанные в части 1 статьи 1 Закона № 44-ФЗ.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</w:t>
      </w:r>
      <w:r>
        <w:rPr>
          <w:rFonts w:ascii="Arial" w:hAnsi="Arial" w:cs="Arial"/>
          <w:color w:val="333333"/>
          <w:sz w:val="26"/>
          <w:szCs w:val="26"/>
        </w:rPr>
        <w:lastRenderedPageBreak/>
        <w:t>(подрядчика, исполнителя), документация о закупке, заявка, окончательное предложение не предусмотрены.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Согласно части 4 статьи 34 Закона №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 соответствии с частью 6 статьи 34 Закона №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Таким образом, исходя из системного толкования положений Закона №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 Обзоре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 требований заказчика к поставщику (подрядчику, исполнителю), если иное не предусмотрено контрактом.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Учитывая изложенное, 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 ГК РФ.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Вместе с тем Департамент обращает внимание, что согласно положениям статьи 41 БК РФ средства от применения мер гражданско-правовой ответственности относятся к неналоговым доходам бюджетов бюджетной системы Российской Федерации.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При этом платежи, являющиеся источниками формирования доходов бюджетов бюджетной системы Российской Федерации, согласно нормам статьи 40 БК РФ, зачисляются на счета органов Федерального казначейства для их распределения этими органами в </w:t>
      </w:r>
      <w:bookmarkStart w:id="0" w:name="_GoBack"/>
      <w:bookmarkEnd w:id="0"/>
      <w:r>
        <w:rPr>
          <w:rFonts w:ascii="Arial" w:hAnsi="Arial" w:cs="Arial"/>
          <w:color w:val="333333"/>
          <w:sz w:val="26"/>
          <w:szCs w:val="26"/>
        </w:rPr>
        <w:t xml:space="preserve">соответствии с </w:t>
      </w:r>
      <w:r>
        <w:rPr>
          <w:rFonts w:ascii="Arial" w:hAnsi="Arial" w:cs="Arial"/>
          <w:color w:val="333333"/>
          <w:sz w:val="26"/>
          <w:szCs w:val="26"/>
        </w:rPr>
        <w:lastRenderedPageBreak/>
        <w:t>установленными нормативами между бюджетами бюджетной системы Российской Федерации.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Дополнительно Департамент сообщает, что положения Закона № 44-ФЗ предусматривают возможность обжалования действий (бездействия) участников контрактной системы при осуществлении закупок товаров, работ, услуг для обеспечения государственных и муниципальных нужд, в том числе в судебном порядке.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Заместитель директора Департамента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Д.А.ГОТОВЦЕВ</w:t>
      </w:r>
    </w:p>
    <w:p w:rsidR="005A1EA5" w:rsidRDefault="005A1EA5" w:rsidP="005A1EA5">
      <w:pPr>
        <w:pStyle w:val="a3"/>
        <w:spacing w:before="120" w:beforeAutospacing="0" w:after="120" w:afterAutospacing="0" w:line="255" w:lineRule="atLeast"/>
        <w:ind w:left="300" w:right="30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28.08.2020</w:t>
      </w:r>
    </w:p>
    <w:p w:rsidR="00034B87" w:rsidRDefault="005A1EA5" w:rsidP="005A1EA5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A5"/>
    <w:rsid w:val="005A1EA5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A000C-0E52-4DD7-9D6D-A48A0B9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2021-04-05T06:04:00Z</dcterms:created>
  <dcterms:modified xsi:type="dcterms:W3CDTF">2021-04-05T06:05:00Z</dcterms:modified>
</cp:coreProperties>
</file>