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1E" w:rsidRDefault="0033391E" w:rsidP="0033391E">
      <w:pPr>
        <w:pStyle w:val="2"/>
        <w:shd w:val="clear" w:color="auto" w:fill="FFFFFF"/>
        <w:spacing w:before="0" w:beforeAutospacing="0" w:after="255" w:afterAutospacing="0" w:line="300" w:lineRule="atLeast"/>
        <w:rPr>
          <w:rFonts w:ascii="Arial" w:hAnsi="Arial" w:cs="Arial"/>
          <w:color w:val="4D4D4D"/>
          <w:sz w:val="27"/>
          <w:szCs w:val="27"/>
        </w:rPr>
      </w:pPr>
      <w:r>
        <w:rPr>
          <w:rFonts w:ascii="Arial" w:hAnsi="Arial" w:cs="Arial"/>
          <w:color w:val="4D4D4D"/>
          <w:sz w:val="27"/>
          <w:szCs w:val="27"/>
        </w:rPr>
        <w:t>Письмо Минфина России от 20 августа 2020 г. № 24-03-07/73168 "О рассмотрении обращения"</w:t>
      </w:r>
    </w:p>
    <w:p w:rsidR="0033391E" w:rsidRDefault="0033391E" w:rsidP="0033391E">
      <w:pPr>
        <w:shd w:val="clear" w:color="auto" w:fill="FFFFFF"/>
        <w:rPr>
          <w:rFonts w:ascii="Arial" w:hAnsi="Arial" w:cs="Arial"/>
          <w:color w:val="333333"/>
          <w:sz w:val="21"/>
          <w:szCs w:val="21"/>
        </w:rPr>
      </w:pPr>
      <w:r>
        <w:rPr>
          <w:rFonts w:ascii="Arial" w:hAnsi="Arial" w:cs="Arial"/>
          <w:color w:val="333333"/>
          <w:sz w:val="21"/>
          <w:szCs w:val="21"/>
        </w:rPr>
        <w:t>9 октября 2020</w:t>
      </w:r>
      <w:bookmarkStart w:id="0" w:name="_GoBack"/>
      <w:bookmarkEnd w:id="0"/>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bookmarkStart w:id="1" w:name="0"/>
      <w:bookmarkEnd w:id="1"/>
      <w:r>
        <w:rPr>
          <w:rFonts w:ascii="Arial" w:hAnsi="Arial" w:cs="Arial"/>
          <w:color w:val="333333"/>
          <w:sz w:val="23"/>
          <w:szCs w:val="23"/>
        </w:rPr>
        <w:t>Департамент бюджетной политики в сфере контрактной системы Минфина России (далее - Департамент), рассмотрев в рамках своей компетенции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условий государственных контрактов, освобождения от штрафных санкций, считает возможным сообщить следующее.</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Вместе с тем Департамент считает необходимым отметить следующее.</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соответствии с пунктом 1 части 13 статьи 34 Закона № 44-ФЗ в контракт включаются, в том числе обязательное условие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Таким образом заказчик самостоятельно, исходя из своих потребностей устанавливает в контракте вышеуказанные условия о порядке и сроках осуществления приемки.</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При этом согласно части 2 статьи 34 Закона № 44-ФЗ изменение существенных условий контракта при его исполнении невозможно, за исключением случаев, предусмотренных статьей 95 Закона № 44-ФЗ.</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Вместе с тем в 2020 году частью 65 статьи 112 Закона № 44-ФЗ предусмотрена возможность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закупок для обеспечения соответствующих нужд, по соглашению сторон изменить срок исполнения контракта при наличии доведенных лимитов бюджетных обязательств на новый срок исполнения контракта, а также при наличии в письменной форме обоснования такого изменения.</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Департамент обращает внимание, что указанная часть Закона № 44-ФЗ позволяет по соглашению сторон продлить срок исполнения контракта, без взимания начисленных неустоек (штрафов, пеней).</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В части изменения страны происхождения контракта сообщаем, что в соответствии с частью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При этом страна происхождения товара, либо его производитель не являются показателем его качества, технических и функциональных характеристик.</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 44-ФЗ.</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Таким образом, в случае установления соответствующих ограничений, предусмотренных статьей 14 Закона № 44-ФЗ, заказчики руководствуются указанными нормативными правовыми актами.</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lastRenderedPageBreak/>
        <w:t>Учитывая изложенное, при исполнении контракта заказчик самостоятельно принимает решение о замене поставляемого товара с учетом соблюдения норм Закона № 44-ФЗ.</w:t>
      </w:r>
    </w:p>
    <w:p w:rsidR="0033391E" w:rsidRDefault="0033391E" w:rsidP="0033391E">
      <w:pPr>
        <w:pStyle w:val="a3"/>
        <w:shd w:val="clear" w:color="auto" w:fill="FFFFFF"/>
        <w:spacing w:before="0" w:beforeAutospacing="0" w:after="255" w:afterAutospacing="0" w:line="270" w:lineRule="atLeast"/>
        <w:rPr>
          <w:rFonts w:ascii="Arial" w:hAnsi="Arial" w:cs="Arial"/>
          <w:color w:val="333333"/>
          <w:sz w:val="23"/>
          <w:szCs w:val="23"/>
        </w:rPr>
      </w:pPr>
      <w:r>
        <w:rPr>
          <w:rFonts w:ascii="Arial" w:hAnsi="Arial" w:cs="Arial"/>
          <w:color w:val="333333"/>
          <w:sz w:val="23"/>
          <w:szCs w:val="23"/>
        </w:rPr>
        <w:t>Кроме того, дополнительно отмечаем, что согласно части 1 статьи 111 Закона № 44-ФЗ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Закона № 44-ФЗ,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tbl>
      <w:tblPr>
        <w:tblW w:w="0" w:type="auto"/>
        <w:tblCellMar>
          <w:top w:w="15" w:type="dxa"/>
          <w:left w:w="15" w:type="dxa"/>
          <w:bottom w:w="15" w:type="dxa"/>
          <w:right w:w="15" w:type="dxa"/>
        </w:tblCellMar>
        <w:tblLook w:val="04A0" w:firstRow="1" w:lastRow="0" w:firstColumn="1" w:lastColumn="0" w:noHBand="0" w:noVBand="1"/>
      </w:tblPr>
      <w:tblGrid>
        <w:gridCol w:w="3640"/>
        <w:gridCol w:w="3640"/>
      </w:tblGrid>
      <w:tr w:rsidR="0033391E" w:rsidTr="005930B3">
        <w:tc>
          <w:tcPr>
            <w:tcW w:w="2500" w:type="pct"/>
            <w:hideMark/>
          </w:tcPr>
          <w:p w:rsidR="0033391E" w:rsidRDefault="0033391E" w:rsidP="005930B3">
            <w:pPr>
              <w:rPr>
                <w:rFonts w:ascii="Times New Roman" w:hAnsi="Times New Roman" w:cs="Times New Roman"/>
                <w:sz w:val="24"/>
                <w:szCs w:val="24"/>
              </w:rPr>
            </w:pPr>
            <w:r>
              <w:t>Заместитель директора Департамента</w:t>
            </w:r>
          </w:p>
        </w:tc>
        <w:tc>
          <w:tcPr>
            <w:tcW w:w="2500" w:type="pct"/>
            <w:hideMark/>
          </w:tcPr>
          <w:p w:rsidR="0033391E" w:rsidRDefault="0033391E" w:rsidP="005930B3">
            <w:r>
              <w:t>Д.А. </w:t>
            </w:r>
            <w:proofErr w:type="spellStart"/>
            <w:r>
              <w:t>Готовцев</w:t>
            </w:r>
            <w:proofErr w:type="spellEnd"/>
          </w:p>
        </w:tc>
      </w:tr>
    </w:tbl>
    <w:p w:rsidR="0033391E" w:rsidRPr="001342C3" w:rsidRDefault="0033391E" w:rsidP="0033391E">
      <w:pPr>
        <w:pStyle w:val="2"/>
        <w:shd w:val="clear" w:color="auto" w:fill="FFFFFF"/>
        <w:spacing w:before="0" w:beforeAutospacing="0" w:after="255" w:afterAutospacing="0" w:line="300" w:lineRule="atLeast"/>
        <w:rPr>
          <w:b w:val="0"/>
          <w:lang w:val="en-US"/>
        </w:rPr>
      </w:pPr>
      <w:bookmarkStart w:id="2" w:name="review"/>
      <w:bookmarkEnd w:id="2"/>
      <w:r>
        <w:rPr>
          <w:b w:val="0"/>
        </w:rPr>
        <w:t xml:space="preserve"> </w:t>
      </w:r>
    </w:p>
    <w:p w:rsidR="00034B87" w:rsidRDefault="0033391E"/>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1E"/>
    <w:rsid w:val="0033391E"/>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D6ADA-D039-466F-9B68-82512088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1E"/>
  </w:style>
  <w:style w:type="paragraph" w:styleId="2">
    <w:name w:val="heading 2"/>
    <w:basedOn w:val="a"/>
    <w:link w:val="20"/>
    <w:uiPriority w:val="9"/>
    <w:qFormat/>
    <w:rsid w:val="003339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3391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339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2021-04-12T10:00:00Z</dcterms:created>
  <dcterms:modified xsi:type="dcterms:W3CDTF">2021-04-12T10:02:00Z</dcterms:modified>
</cp:coreProperties>
</file>