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F3" w:rsidRDefault="00B038F3" w:rsidP="00B038F3">
      <w:pPr>
        <w:pStyle w:val="2"/>
        <w:shd w:val="clear" w:color="auto" w:fill="FFFFFF"/>
        <w:spacing w:before="0" w:beforeAutospacing="0" w:after="255" w:afterAutospacing="0" w:line="300" w:lineRule="atLeast"/>
        <w:rPr>
          <w:rFonts w:ascii="Arial" w:hAnsi="Arial" w:cs="Arial"/>
          <w:color w:val="4D4D4D"/>
          <w:sz w:val="27"/>
          <w:szCs w:val="27"/>
        </w:rPr>
      </w:pPr>
      <w:r>
        <w:rPr>
          <w:rFonts w:ascii="Arial" w:hAnsi="Arial" w:cs="Arial"/>
          <w:color w:val="4D4D4D"/>
          <w:sz w:val="27"/>
          <w:szCs w:val="27"/>
        </w:rPr>
        <w:t>Письмо Минфина России от 20 августа 2020 г. № 24-03-07/73127 "О рассмотрении обращения"</w:t>
      </w:r>
    </w:p>
    <w:p w:rsidR="00B038F3" w:rsidRDefault="00B038F3" w:rsidP="00B038F3">
      <w:pPr>
        <w:shd w:val="clear" w:color="auto" w:fill="FFFFFF"/>
        <w:rPr>
          <w:rFonts w:ascii="Arial" w:hAnsi="Arial" w:cs="Arial"/>
          <w:color w:val="333333"/>
          <w:sz w:val="21"/>
          <w:szCs w:val="21"/>
        </w:rPr>
      </w:pPr>
      <w:r>
        <w:rPr>
          <w:rFonts w:ascii="Arial" w:hAnsi="Arial" w:cs="Arial"/>
          <w:color w:val="333333"/>
          <w:sz w:val="21"/>
          <w:szCs w:val="21"/>
        </w:rPr>
        <w:t>8 октября 2020</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включения информации о начислении неустоек в реестр контрактов, сообщает следующее.</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Вместе с тем Департамент считает возможным сообщить следующее.</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Согласно части 8 статьи 95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Частью 9 статьи 95 Закона №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Таким образом, в случае неисполнения или ненадлежащего исполнения поставщиком (подрядчиком, исполнителем) обязательств, предусмотренных контрактом, заказчик расторгает контракт в одностороннем или судебном порядке, а также взыскивает неустойку за ненадлежащее исполнение обязательств, предусмотренных контрактом, или вправе вернуть внесенное в виде денежных средств обеспечение исполнения контракта, уменьшенное на размер начисленных штрафов, пеней.</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Порядок направления такого решения установлен частью 12 статьи 95 Закона № 44-ФЗ.</w:t>
      </w:r>
    </w:p>
    <w:p w:rsidR="00B038F3" w:rsidRDefault="00B038F3" w:rsidP="00B038F3">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Дополнительно, Департамент обращает внимание, что в соответствии с частью 2 статьи 104 Закона № 44-ФЗ информация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подлежит включению в реестр недобросовестных поставщиков.</w:t>
      </w:r>
    </w:p>
    <w:tbl>
      <w:tblPr>
        <w:tblW w:w="0" w:type="auto"/>
        <w:tblCellMar>
          <w:top w:w="15" w:type="dxa"/>
          <w:left w:w="15" w:type="dxa"/>
          <w:bottom w:w="15" w:type="dxa"/>
          <w:right w:w="15" w:type="dxa"/>
        </w:tblCellMar>
        <w:tblLook w:val="04A0" w:firstRow="1" w:lastRow="0" w:firstColumn="1" w:lastColumn="0" w:noHBand="0" w:noVBand="1"/>
      </w:tblPr>
      <w:tblGrid>
        <w:gridCol w:w="3640"/>
        <w:gridCol w:w="3640"/>
      </w:tblGrid>
      <w:tr w:rsidR="00B038F3" w:rsidTr="009A7DE5">
        <w:tc>
          <w:tcPr>
            <w:tcW w:w="2500" w:type="pct"/>
            <w:hideMark/>
          </w:tcPr>
          <w:p w:rsidR="00B038F3" w:rsidRDefault="00B038F3" w:rsidP="009A7DE5">
            <w:pPr>
              <w:rPr>
                <w:rFonts w:ascii="Times New Roman" w:hAnsi="Times New Roman" w:cs="Times New Roman"/>
                <w:sz w:val="24"/>
                <w:szCs w:val="24"/>
              </w:rPr>
            </w:pPr>
            <w:r>
              <w:lastRenderedPageBreak/>
              <w:t>Заместитель директора Департамента</w:t>
            </w:r>
          </w:p>
        </w:tc>
        <w:tc>
          <w:tcPr>
            <w:tcW w:w="2500" w:type="pct"/>
            <w:hideMark/>
          </w:tcPr>
          <w:p w:rsidR="00B038F3" w:rsidRDefault="00B038F3" w:rsidP="009A7DE5">
            <w:r>
              <w:t>Д.А. </w:t>
            </w:r>
            <w:proofErr w:type="spellStart"/>
            <w:r>
              <w:t>Готовцев</w:t>
            </w:r>
            <w:proofErr w:type="spellEnd"/>
          </w:p>
        </w:tc>
      </w:tr>
    </w:tbl>
    <w:p w:rsidR="00B038F3" w:rsidRDefault="00B038F3" w:rsidP="00B038F3">
      <w:pPr>
        <w:shd w:val="clear" w:color="auto" w:fill="FFFFFF"/>
        <w:spacing w:beforeAutospacing="1" w:afterAutospacing="1"/>
        <w:rPr>
          <w:rFonts w:ascii="Arial" w:hAnsi="Arial" w:cs="Arial"/>
          <w:color w:val="000000"/>
        </w:rPr>
      </w:pPr>
    </w:p>
    <w:p w:rsidR="00034B87" w:rsidRDefault="00B038F3">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F3"/>
    <w:rsid w:val="005C245C"/>
    <w:rsid w:val="00AD6C02"/>
    <w:rsid w:val="00B0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93354-5C22-4B01-B574-A3251240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8F3"/>
  </w:style>
  <w:style w:type="paragraph" w:styleId="2">
    <w:name w:val="heading 2"/>
    <w:basedOn w:val="a"/>
    <w:link w:val="20"/>
    <w:uiPriority w:val="9"/>
    <w:qFormat/>
    <w:rsid w:val="00B038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38F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038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2021-04-15T10:45:00Z</dcterms:created>
  <dcterms:modified xsi:type="dcterms:W3CDTF">2021-04-15T10:45:00Z</dcterms:modified>
</cp:coreProperties>
</file>