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5F" w:rsidRPr="00B7195F" w:rsidRDefault="00B7195F" w:rsidP="00B7195F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09-05-05/63287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ФЕДЕРАЛЬНОЕ КАЗНАЧЕЙСТВО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07-04-05/22-17716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7195F" w:rsidRPr="00B7195F" w:rsidRDefault="00B7195F" w:rsidP="00B7195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7195F" w:rsidRPr="00B7195F" w:rsidRDefault="00B7195F" w:rsidP="00B7195F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9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августа 2019 года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4"/>
      <w:bookmarkEnd w:id="2"/>
      <w:r w:rsidRPr="00B7195F">
        <w:rPr>
          <w:rFonts w:ascii="Arial" w:eastAsia="Times New Roman" w:hAnsi="Arial" w:cs="Arial"/>
          <w:sz w:val="26"/>
          <w:szCs w:val="26"/>
          <w:lang w:eastAsia="ru-RU"/>
        </w:rPr>
        <w:t>Министерство финансов Российской Федерации и Федеральное казначейство в связи с поступающими обращени</w:t>
      </w:r>
      <w:bookmarkStart w:id="3" w:name="_GoBack"/>
      <w:bookmarkEnd w:id="3"/>
      <w:r w:rsidRPr="00B7195F">
        <w:rPr>
          <w:rFonts w:ascii="Arial" w:eastAsia="Times New Roman" w:hAnsi="Arial" w:cs="Arial"/>
          <w:sz w:val="26"/>
          <w:szCs w:val="26"/>
          <w:lang w:eastAsia="ru-RU"/>
        </w:rPr>
        <w:t>ями по вопросам применения положений, установленных пунктом 10 части 2 и пунктом 2 части 3 статьи 5 Федерального закона от 29 ноября 2018 г. № 459-ФЗ "О федеральном бюджете на 2019 год и на плановый период 2020 и 2021 годов" (далее - Федеральный закон № 459-ФЗ), сообщают следующее.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B7195F">
        <w:rPr>
          <w:rFonts w:ascii="Arial" w:eastAsia="Times New Roman" w:hAnsi="Arial" w:cs="Arial"/>
          <w:sz w:val="26"/>
          <w:szCs w:val="26"/>
          <w:lang w:eastAsia="ru-RU"/>
        </w:rPr>
        <w:t>Средства, подлежащие казначейскому сопровождению в 2019 году, определены частью 2 статьи 5 Федерального закона № 459-ФЗ.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B7195F">
        <w:rPr>
          <w:rFonts w:ascii="Arial" w:eastAsia="Times New Roman" w:hAnsi="Arial" w:cs="Arial"/>
          <w:sz w:val="26"/>
          <w:szCs w:val="26"/>
          <w:lang w:eastAsia="ru-RU"/>
        </w:rPr>
        <w:t>Согласно положениям пункта 10 части 2 статьи 5 Федерального закона № 459-ФЗ Правительство Российской Федерации вправе принимать решения, определяющие случаи и средства, подлежащие казначейскому сопровождению, в дополнение к средствам, указанным в данной статье (далее - Решение Правительства Российской Федерации).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B7195F">
        <w:rPr>
          <w:rFonts w:ascii="Arial" w:eastAsia="Times New Roman" w:hAnsi="Arial" w:cs="Arial"/>
          <w:sz w:val="26"/>
          <w:szCs w:val="26"/>
          <w:lang w:eastAsia="ru-RU"/>
        </w:rPr>
        <w:t>Так, распоряжениями Правительства Российской Федерации от 5 мая 2019 г. № 869-р, от 28 февраля 2019 г. № 308-р, от 7 марта 2019 г. № 368-р, от 14 мая 2019 г. № 936-р, от 18 мая 2019 г. № 968-р определены случаи казначейского сопровождения средств, предоставляемых юридическим лицам из бюджетов субъектов Российской Федерации (местных бюджетов), в том числе на основании государственных (муниципальных) контрактов (контрактов, договоров),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субъекта Российской Федерации (муниципальных нужд).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B7195F">
        <w:rPr>
          <w:rFonts w:ascii="Arial" w:eastAsia="Times New Roman" w:hAnsi="Arial" w:cs="Arial"/>
          <w:sz w:val="26"/>
          <w:szCs w:val="26"/>
          <w:lang w:eastAsia="ru-RU"/>
        </w:rPr>
        <w:t>При этом согласно части 3 статьи 5 Федерального закона № 459-ФЗ средства, предоставляемые на основании государственных контрактов (контрактов, договоров),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исполнение которых подлежит банковскому сопровождению, казначейскому сопровождению не подлежат.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B7195F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со статьей 35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высший исполнительный орган государственной власти субъекта Российской Федерации, местная администрация определяют случаи осуществления </w:t>
      </w:r>
      <w:r w:rsidRPr="00B7195F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банковского сопровождения контрактов, предметом которых являются поставки товаров, выполнение работ, оказание услуг соответственно для нужд субъекта Российской Федерации, муниципальных нужд, в форме нормативных правовых актов высшего исполнительного органа государственной власти субъекта Российской Федерации, муниципальных правовых актов.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B7195F">
        <w:rPr>
          <w:rFonts w:ascii="Arial" w:eastAsia="Times New Roman" w:hAnsi="Arial" w:cs="Arial"/>
          <w:sz w:val="26"/>
          <w:szCs w:val="26"/>
          <w:lang w:eastAsia="ru-RU"/>
        </w:rPr>
        <w:t>Учитывая изложенное, при принятии Решения Правительства Российской Федерации в отношении государственных (муниципальных) контрактов, заключаемых для обеспечения государственных нужд субъектов Российской Федерации (муниципальных нужд), подлежащих банковскому сопровождению в соответствии с указанными нормативными правовыми актами субъектов Российской Федерации (муниципальными правовыми актами), осуществляется банковское сопровождение до внесения в эти акты соответствующих изменений.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7195F" w:rsidRPr="00B7195F" w:rsidRDefault="00B7195F" w:rsidP="00B7195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B7195F">
        <w:rPr>
          <w:rFonts w:ascii="Arial" w:eastAsia="Times New Roman" w:hAnsi="Arial" w:cs="Arial"/>
          <w:sz w:val="26"/>
          <w:szCs w:val="26"/>
          <w:lang w:eastAsia="ru-RU"/>
        </w:rPr>
        <w:t>Заместитель Министра финансов</w:t>
      </w:r>
    </w:p>
    <w:p w:rsidR="00B7195F" w:rsidRPr="00B7195F" w:rsidRDefault="00B7195F" w:rsidP="00B7195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B7195F" w:rsidRPr="00B7195F" w:rsidRDefault="00B7195F" w:rsidP="00B7195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А.М.ЛАВРОВ</w:t>
      </w:r>
    </w:p>
    <w:p w:rsidR="00B7195F" w:rsidRPr="00B7195F" w:rsidRDefault="00B7195F" w:rsidP="00B7195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7195F" w:rsidRPr="00B7195F" w:rsidRDefault="00B7195F" w:rsidP="00B7195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2"/>
      <w:bookmarkEnd w:id="11"/>
      <w:proofErr w:type="spellStart"/>
      <w:r w:rsidRPr="00B7195F">
        <w:rPr>
          <w:rFonts w:ascii="Arial" w:eastAsia="Times New Roman" w:hAnsi="Arial" w:cs="Arial"/>
          <w:sz w:val="26"/>
          <w:szCs w:val="26"/>
          <w:lang w:eastAsia="ru-RU"/>
        </w:rPr>
        <w:t>И.о</w:t>
      </w:r>
      <w:proofErr w:type="spellEnd"/>
      <w:r w:rsidRPr="00B7195F">
        <w:rPr>
          <w:rFonts w:ascii="Arial" w:eastAsia="Times New Roman" w:hAnsi="Arial" w:cs="Arial"/>
          <w:sz w:val="26"/>
          <w:szCs w:val="26"/>
          <w:lang w:eastAsia="ru-RU"/>
        </w:rPr>
        <w:t>. руководителя</w:t>
      </w:r>
    </w:p>
    <w:p w:rsidR="00B7195F" w:rsidRPr="00B7195F" w:rsidRDefault="00B7195F" w:rsidP="00B7195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7195F">
        <w:rPr>
          <w:rFonts w:ascii="Arial" w:eastAsia="Times New Roman" w:hAnsi="Arial" w:cs="Arial"/>
          <w:sz w:val="26"/>
          <w:szCs w:val="26"/>
          <w:lang w:eastAsia="ru-RU"/>
        </w:rPr>
        <w:t>Федерального казначейства</w:t>
      </w:r>
    </w:p>
    <w:p w:rsidR="00034B87" w:rsidRPr="00B7195F" w:rsidRDefault="00B7195F" w:rsidP="00B7195F">
      <w:r w:rsidRPr="00B7195F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Pr="00B7195F">
        <w:rPr>
          <w:rFonts w:ascii="Arial" w:eastAsia="Times New Roman" w:hAnsi="Arial" w:cs="Arial"/>
          <w:sz w:val="26"/>
          <w:szCs w:val="26"/>
          <w:lang w:eastAsia="ru-RU"/>
        </w:rPr>
        <w:t>С.Е.ПРОКОФЬЕВ</w:t>
      </w:r>
    </w:p>
    <w:sectPr w:rsidR="00034B87" w:rsidRPr="00B7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5F"/>
    <w:rsid w:val="005C245C"/>
    <w:rsid w:val="00AD6C02"/>
    <w:rsid w:val="00B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A0C4-8CC7-46D5-910A-8A767F22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2021-04-20T10:19:00Z</dcterms:created>
  <dcterms:modified xsi:type="dcterms:W3CDTF">2021-04-20T10:21:00Z</dcterms:modified>
</cp:coreProperties>
</file>