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072F6" w14:textId="77777777" w:rsidR="000C5671" w:rsidRPr="000C5671" w:rsidRDefault="000C5671" w:rsidP="000C5671">
      <w:pPr>
        <w:shd w:val="clear" w:color="auto" w:fill="FFFFFF"/>
        <w:spacing w:line="288" w:lineRule="atLeast"/>
        <w:rPr>
          <w:rStyle w:val="blk"/>
          <w:rFonts w:ascii="Arial" w:hAnsi="Arial" w:cs="Arial"/>
          <w:b/>
          <w:bCs/>
          <w:sz w:val="30"/>
          <w:szCs w:val="30"/>
        </w:rPr>
      </w:pPr>
    </w:p>
    <w:p w14:paraId="5796FCB7" w14:textId="77777777" w:rsidR="000C5671" w:rsidRPr="000C5671" w:rsidRDefault="000C5671" w:rsidP="000C5671">
      <w:pPr>
        <w:shd w:val="clear" w:color="auto" w:fill="FFFFFF"/>
        <w:spacing w:line="450" w:lineRule="atLeast"/>
        <w:jc w:val="center"/>
        <w:rPr>
          <w:rFonts w:ascii="Arial" w:hAnsi="Arial" w:cs="Arial"/>
          <w:b/>
          <w:bCs/>
          <w:sz w:val="30"/>
          <w:szCs w:val="30"/>
        </w:rPr>
      </w:pPr>
      <w:r w:rsidRPr="000C5671">
        <w:rPr>
          <w:rStyle w:val="blk"/>
          <w:rFonts w:ascii="Arial" w:hAnsi="Arial" w:cs="Arial"/>
          <w:b/>
          <w:bCs/>
          <w:sz w:val="30"/>
          <w:szCs w:val="30"/>
        </w:rPr>
        <w:t>МИНИСТЕРСТВО ФИНАНСОВ РОССИЙСКОЙ ФЕДЕРАЦИИ</w:t>
      </w:r>
    </w:p>
    <w:p w14:paraId="5669DEE8" w14:textId="77777777" w:rsidR="000C5671" w:rsidRPr="000C5671" w:rsidRDefault="000C5671" w:rsidP="000C5671">
      <w:pPr>
        <w:shd w:val="clear" w:color="auto" w:fill="FFFFFF"/>
        <w:spacing w:line="450" w:lineRule="atLeast"/>
        <w:jc w:val="center"/>
        <w:rPr>
          <w:rFonts w:ascii="Arial" w:hAnsi="Arial" w:cs="Arial"/>
          <w:b/>
          <w:bCs/>
          <w:sz w:val="30"/>
          <w:szCs w:val="30"/>
        </w:rPr>
      </w:pPr>
      <w:r w:rsidRPr="000C5671">
        <w:rPr>
          <w:rStyle w:val="nobr"/>
          <w:rFonts w:ascii="Arial" w:hAnsi="Arial" w:cs="Arial"/>
          <w:b/>
          <w:bCs/>
          <w:sz w:val="30"/>
          <w:szCs w:val="30"/>
        </w:rPr>
        <w:t> </w:t>
      </w:r>
      <w:bookmarkStart w:id="0" w:name="_GoBack"/>
      <w:bookmarkEnd w:id="0"/>
    </w:p>
    <w:p w14:paraId="36994FBC" w14:textId="77777777" w:rsidR="000C5671" w:rsidRPr="000C5671" w:rsidRDefault="000C5671" w:rsidP="000C5671">
      <w:pPr>
        <w:shd w:val="clear" w:color="auto" w:fill="FFFFFF"/>
        <w:spacing w:line="450" w:lineRule="atLeast"/>
        <w:jc w:val="center"/>
        <w:rPr>
          <w:rFonts w:ascii="Arial" w:hAnsi="Arial" w:cs="Arial"/>
          <w:b/>
          <w:bCs/>
          <w:sz w:val="30"/>
          <w:szCs w:val="30"/>
        </w:rPr>
      </w:pPr>
      <w:r w:rsidRPr="000C5671">
        <w:rPr>
          <w:rStyle w:val="blk"/>
          <w:rFonts w:ascii="Arial" w:hAnsi="Arial" w:cs="Arial"/>
          <w:b/>
          <w:bCs/>
          <w:sz w:val="30"/>
          <w:szCs w:val="30"/>
        </w:rPr>
        <w:t>ПИСЬМО</w:t>
      </w:r>
    </w:p>
    <w:p w14:paraId="3294B6E4" w14:textId="77777777" w:rsidR="000C5671" w:rsidRPr="000C5671" w:rsidRDefault="000C5671" w:rsidP="000C5671">
      <w:pPr>
        <w:shd w:val="clear" w:color="auto" w:fill="FFFFFF"/>
        <w:spacing w:line="450" w:lineRule="atLeast"/>
        <w:jc w:val="center"/>
        <w:rPr>
          <w:rFonts w:ascii="Arial" w:hAnsi="Arial" w:cs="Arial"/>
          <w:b/>
          <w:bCs/>
          <w:sz w:val="30"/>
          <w:szCs w:val="30"/>
        </w:rPr>
      </w:pPr>
      <w:r w:rsidRPr="000C5671">
        <w:rPr>
          <w:rStyle w:val="blk"/>
          <w:rFonts w:ascii="Arial" w:hAnsi="Arial" w:cs="Arial"/>
          <w:b/>
          <w:bCs/>
          <w:sz w:val="30"/>
          <w:szCs w:val="30"/>
        </w:rPr>
        <w:t>от 22 мая 2020 г. № 24-03-07/42712</w:t>
      </w:r>
    </w:p>
    <w:p w14:paraId="0E390945" w14:textId="77777777" w:rsidR="000C5671" w:rsidRPr="000C5671" w:rsidRDefault="000C5671" w:rsidP="000C5671">
      <w:pPr>
        <w:shd w:val="clear" w:color="auto" w:fill="FFFFFF"/>
        <w:spacing w:line="288" w:lineRule="atLeast"/>
        <w:rPr>
          <w:rFonts w:ascii="Times New Roman" w:hAnsi="Times New Roman" w:cs="Times New Roman"/>
          <w:sz w:val="30"/>
          <w:szCs w:val="30"/>
        </w:rPr>
      </w:pPr>
      <w:r w:rsidRPr="000C5671">
        <w:rPr>
          <w:rStyle w:val="nobr"/>
          <w:sz w:val="30"/>
          <w:szCs w:val="30"/>
        </w:rPr>
        <w:t> </w:t>
      </w:r>
    </w:p>
    <w:p w14:paraId="3D2557A3"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Департамент бюджетной политики в сфере контрактной системы Минфина России (далее - Департамент) рассмотрел в пределах своей компетенции адвокатский запрос от 3 апреля 2020 г. о применении коэффициента тендерного снижения на выполненные работы, на материалы, конструкции, изделия и на оборудование в случаях, когда государственным контрактом установлена твердая договорная цена, и сообщает следующее.</w:t>
      </w:r>
    </w:p>
    <w:p w14:paraId="5C9FCB33"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В соответствии с </w:t>
      </w:r>
      <w:r w:rsidRPr="000C5671">
        <w:rPr>
          <w:rStyle w:val="a3"/>
          <w:color w:val="auto"/>
          <w:sz w:val="30"/>
          <w:szCs w:val="30"/>
          <w:u w:val="none"/>
        </w:rPr>
        <w:t>Положением</w:t>
      </w:r>
      <w:r w:rsidRPr="000C5671">
        <w:rPr>
          <w:rStyle w:val="blk"/>
          <w:sz w:val="30"/>
          <w:szCs w:val="30"/>
        </w:rPr>
        <w:t> о Министерстве финансов Российской Федерации, утвержденным постановлением Правительства Российской Федерации от 30 июня 2004 г.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14:paraId="79434C33"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При этом согласно </w:t>
      </w:r>
      <w:r w:rsidRPr="000C5671">
        <w:rPr>
          <w:rStyle w:val="a3"/>
          <w:color w:val="auto"/>
          <w:sz w:val="30"/>
          <w:szCs w:val="30"/>
          <w:u w:val="none"/>
        </w:rPr>
        <w:t>пункту 11.8</w:t>
      </w:r>
      <w:r w:rsidRPr="000C5671">
        <w:rPr>
          <w:rStyle w:val="blk"/>
          <w:sz w:val="30"/>
          <w:szCs w:val="30"/>
        </w:rPr>
        <w:t> Регламента Министерства финансов Российской Федерации, утвержденного приказом Минфина России от 14 сентября 2018 г. № 194н, Министерством не осуществляется разъяснение законодательства Российской Федерации, практики его применения, практики применения приказов Министерства,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14:paraId="25CF3737"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rsidRPr="000C5671">
        <w:rPr>
          <w:rStyle w:val="blk"/>
          <w:sz w:val="30"/>
          <w:szCs w:val="30"/>
        </w:rPr>
        <w:t>а также</w:t>
      </w:r>
      <w:proofErr w:type="gramEnd"/>
      <w:r w:rsidRPr="000C5671">
        <w:rPr>
          <w:rStyle w:val="blk"/>
          <w:sz w:val="30"/>
          <w:szCs w:val="30"/>
        </w:rPr>
        <w:t xml:space="preserve"> по оценке конкретных хозяйственных ситуаций.</w:t>
      </w:r>
    </w:p>
    <w:p w14:paraId="19860808"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lastRenderedPageBreak/>
        <w:t>В соответствии с </w:t>
      </w:r>
      <w:r w:rsidRPr="000C5671">
        <w:rPr>
          <w:rStyle w:val="a3"/>
          <w:color w:val="auto"/>
          <w:sz w:val="30"/>
          <w:szCs w:val="30"/>
          <w:u w:val="none"/>
        </w:rPr>
        <w:t>пунктом 1 статьи 6.1</w:t>
      </w:r>
      <w:r w:rsidRPr="000C5671">
        <w:rPr>
          <w:rStyle w:val="blk"/>
          <w:sz w:val="30"/>
          <w:szCs w:val="30"/>
        </w:rPr>
        <w:t> Федерального закона от 31 мая 2002 г. № 63-ФЗ "Об адвокатской деятельности и адвокатуре в Российской Федерации" (далее - Закон № 63-ФЗ) адвокат вправе направлять в том числе в органы государственной власти в порядке, установленном Законом № 63-ФЗ, официальное обращение по входящим в компетенцию указанных органов вопросам о представлении справок, характеристик и иных документов, необходимых для оказания квалифицированной юридической помощи.</w:t>
      </w:r>
    </w:p>
    <w:p w14:paraId="45EEE695"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В этой связи получение разъяснений по вопросам применения законодательства и соответствующая обязанность уполномоченных органов по их предоставлению в рамках подготовки ответов на адвокатские запросы указанными положениями </w:t>
      </w:r>
      <w:r w:rsidRPr="000C5671">
        <w:rPr>
          <w:rStyle w:val="a3"/>
          <w:color w:val="auto"/>
          <w:sz w:val="30"/>
          <w:szCs w:val="30"/>
          <w:u w:val="none"/>
        </w:rPr>
        <w:t>Закона</w:t>
      </w:r>
      <w:r w:rsidRPr="000C5671">
        <w:rPr>
          <w:rStyle w:val="blk"/>
          <w:sz w:val="30"/>
          <w:szCs w:val="30"/>
        </w:rPr>
        <w:t> № 63-ФЗ не предусмотрены.</w:t>
      </w:r>
    </w:p>
    <w:p w14:paraId="7910CD7F"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Вместе с тем полагаем необходимым отметить, что в соответствии с положениями Федерального </w:t>
      </w:r>
      <w:r w:rsidRPr="000C5671">
        <w:rPr>
          <w:rStyle w:val="a3"/>
          <w:color w:val="auto"/>
          <w:sz w:val="30"/>
          <w:szCs w:val="30"/>
          <w:u w:val="none"/>
        </w:rPr>
        <w:t>закона</w:t>
      </w:r>
      <w:r w:rsidRPr="000C5671">
        <w:rPr>
          <w:rStyle w:val="blk"/>
          <w:sz w:val="30"/>
          <w:szCs w:val="30"/>
        </w:rPr>
        <w:t xml:space="preserve"> от 5 апреля 2013 г. № 44-ФЗ "О контрактной системе в </w:t>
      </w:r>
      <w:commentRangeStart w:id="1"/>
      <w:r w:rsidRPr="000C5671">
        <w:rPr>
          <w:rStyle w:val="blk"/>
          <w:sz w:val="30"/>
          <w:szCs w:val="30"/>
        </w:rPr>
        <w:t>сфере</w:t>
      </w:r>
      <w:commentRangeEnd w:id="1"/>
      <w:r w:rsidRPr="000C5671">
        <w:rPr>
          <w:rStyle w:val="a4"/>
        </w:rPr>
        <w:commentReference w:id="1"/>
      </w:r>
      <w:r w:rsidRPr="000C5671">
        <w:rPr>
          <w:rStyle w:val="blk"/>
          <w:sz w:val="30"/>
          <w:szCs w:val="30"/>
        </w:rPr>
        <w:t xml:space="preserve"> закупок товаров, работ, услуг для обеспечения государственных и муниципальных нужд" (далее - Закон № 44-ФЗ) при осуществлении закупки в извещении и документации о закупке заказчиком устанавливается начальная (максимальная) цена контракта (далее - НМЦК).</w:t>
      </w:r>
    </w:p>
    <w:p w14:paraId="14A88C82"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В соответствии с </w:t>
      </w:r>
      <w:r w:rsidRPr="000C5671">
        <w:rPr>
          <w:rStyle w:val="a3"/>
          <w:color w:val="auto"/>
          <w:sz w:val="30"/>
          <w:szCs w:val="30"/>
          <w:u w:val="none"/>
        </w:rPr>
        <w:t>частью 1 статьи 34</w:t>
      </w:r>
      <w:r w:rsidRPr="000C5671">
        <w:rPr>
          <w:rStyle w:val="blk"/>
          <w:sz w:val="30"/>
          <w:szCs w:val="30"/>
        </w:rPr>
        <w:t>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14:paraId="21230503"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Согласно </w:t>
      </w:r>
      <w:r w:rsidRPr="000C5671">
        <w:rPr>
          <w:rStyle w:val="a3"/>
          <w:color w:val="auto"/>
          <w:sz w:val="30"/>
          <w:szCs w:val="30"/>
          <w:u w:val="none"/>
        </w:rPr>
        <w:t>части 2 статьи 34</w:t>
      </w:r>
      <w:r w:rsidRPr="000C5671">
        <w:rPr>
          <w:rStyle w:val="blk"/>
          <w:sz w:val="30"/>
          <w:szCs w:val="30"/>
        </w:rPr>
        <w:t> Закона № 44-ФЗ при заключении контракта указывается, что цена контракта является твердой и определяется на весь срок исполнения контракта.</w:t>
      </w:r>
    </w:p>
    <w:p w14:paraId="5783F6E4"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При этом отмечаем, что </w:t>
      </w:r>
      <w:r w:rsidRPr="000C5671">
        <w:rPr>
          <w:rStyle w:val="a3"/>
          <w:color w:val="auto"/>
          <w:sz w:val="30"/>
          <w:szCs w:val="30"/>
          <w:u w:val="none"/>
        </w:rPr>
        <w:t>Законом</w:t>
      </w:r>
      <w:r w:rsidRPr="000C5671">
        <w:rPr>
          <w:rStyle w:val="blk"/>
          <w:sz w:val="30"/>
          <w:szCs w:val="30"/>
        </w:rPr>
        <w:t> № 44-ФЗ не установлено право требовать от победителя аукциона представления расчета коэффициента снижения НМЦК к цене контракта, предложенной победителем (далее - коэффициент снижения), а также расчета итоговой стоимости каждого из этапов выполнения работ, отдельных видов услуг, отдельных позиций товара после определения победителя процедуры закупки.</w:t>
      </w:r>
    </w:p>
    <w:p w14:paraId="7CA36882" w14:textId="77777777" w:rsidR="000C5671" w:rsidRPr="000C5671" w:rsidRDefault="000C5671" w:rsidP="000C5671">
      <w:pPr>
        <w:shd w:val="clear" w:color="auto" w:fill="FFFFFF"/>
        <w:spacing w:line="288" w:lineRule="atLeast"/>
        <w:ind w:firstLine="540"/>
        <w:jc w:val="both"/>
        <w:rPr>
          <w:rStyle w:val="a3"/>
          <w:color w:val="auto"/>
          <w:u w:val="none"/>
        </w:rPr>
      </w:pPr>
      <w:r w:rsidRPr="000C5671">
        <w:rPr>
          <w:rStyle w:val="blk"/>
          <w:sz w:val="30"/>
          <w:szCs w:val="30"/>
        </w:rPr>
        <w:fldChar w:fldCharType="begin"/>
      </w:r>
      <w:r w:rsidRPr="000C5671">
        <w:rPr>
          <w:rStyle w:val="blk"/>
          <w:sz w:val="30"/>
          <w:szCs w:val="30"/>
        </w:rPr>
        <w:instrText xml:space="preserve"> HYPERLINK "http://www.consultant.ru/cons/cgi/online.cgi?rnd=1D449DA4425A5BC2FB57649244618745&amp;req=query&amp;REFDOC=196410&amp;REFBASE=QUEST&amp;REFPAGE=0&amp;REFTYPE=CDLT_MAIN_BACKREFS&amp;ts=1527416193511496382&amp;mode=backrefs&amp;REFDST=100015" </w:instrText>
      </w:r>
      <w:r w:rsidRPr="000C5671">
        <w:rPr>
          <w:rStyle w:val="blk"/>
          <w:sz w:val="30"/>
          <w:szCs w:val="30"/>
        </w:rPr>
        <w:fldChar w:fldCharType="separate"/>
      </w:r>
    </w:p>
    <w:p w14:paraId="23ED41B5" w14:textId="77777777" w:rsidR="000C5671" w:rsidRPr="000C5671" w:rsidRDefault="000C5671" w:rsidP="000C5671">
      <w:pPr>
        <w:shd w:val="clear" w:color="auto" w:fill="FFFFFF"/>
        <w:spacing w:line="288" w:lineRule="atLeast"/>
        <w:ind w:firstLine="540"/>
        <w:jc w:val="both"/>
      </w:pPr>
      <w:r w:rsidRPr="000C5671">
        <w:rPr>
          <w:rStyle w:val="blk"/>
          <w:sz w:val="30"/>
          <w:szCs w:val="30"/>
        </w:rPr>
        <w:lastRenderedPageBreak/>
        <w:fldChar w:fldCharType="end"/>
      </w:r>
      <w:r w:rsidRPr="000C5671">
        <w:rPr>
          <w:rStyle w:val="blk"/>
          <w:sz w:val="30"/>
          <w:szCs w:val="30"/>
        </w:rPr>
        <w:t>С учетом изложенного, по мнению Департамента, в случае если контрактом предусмотрена поставка нескольких позиций товара, нескольких этапов исполнения контракта, то итоговая стоимость каждой позиции, каждого из этапов может пересчитываться заказчиком пропорционально коэффициенту снижения от цены позиции товара или этапа, рассчитанной при определении НМЦК, при условии, что такая цена позиции товара или этапа была указана в документации о закупке.</w:t>
      </w:r>
    </w:p>
    <w:p w14:paraId="5FFE879B"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Полученная итоговая стоимость позиций товара, этапов выполнения контракта и общая итоговая цена контракта вносятся в проект государственного (муниципального) контракта, направляемого победителю закупки.</w:t>
      </w:r>
    </w:p>
    <w:p w14:paraId="42A530C2"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Департамент обращает внимание на то, что </w:t>
      </w:r>
      <w:r w:rsidRPr="000C5671">
        <w:rPr>
          <w:rStyle w:val="a3"/>
          <w:color w:val="auto"/>
          <w:sz w:val="30"/>
          <w:szCs w:val="30"/>
          <w:u w:val="none"/>
        </w:rPr>
        <w:t>Законом</w:t>
      </w:r>
      <w:r w:rsidRPr="000C5671">
        <w:rPr>
          <w:rStyle w:val="blk"/>
          <w:sz w:val="30"/>
          <w:szCs w:val="30"/>
        </w:rPr>
        <w:t> № 44-ФЗ не регулируются вопросы, связанные с документальным оформлением приемки выполненных работ, в частности, с унифицированной формой первичной учетной документации </w:t>
      </w:r>
      <w:r w:rsidRPr="000C5671">
        <w:rPr>
          <w:rStyle w:val="a3"/>
          <w:color w:val="auto"/>
          <w:sz w:val="30"/>
          <w:szCs w:val="30"/>
          <w:u w:val="none"/>
        </w:rPr>
        <w:t>КС-2</w:t>
      </w:r>
      <w:r w:rsidRPr="000C5671">
        <w:rPr>
          <w:rStyle w:val="blk"/>
          <w:sz w:val="30"/>
          <w:szCs w:val="30"/>
        </w:rPr>
        <w:t>, </w:t>
      </w:r>
      <w:r w:rsidRPr="000C5671">
        <w:rPr>
          <w:rStyle w:val="a3"/>
          <w:color w:val="auto"/>
          <w:sz w:val="30"/>
          <w:szCs w:val="30"/>
          <w:u w:val="none"/>
        </w:rPr>
        <w:t>КС-3</w:t>
      </w:r>
      <w:r w:rsidRPr="000C5671">
        <w:rPr>
          <w:rStyle w:val="blk"/>
          <w:sz w:val="30"/>
          <w:szCs w:val="30"/>
        </w:rPr>
        <w:t>.</w:t>
      </w:r>
    </w:p>
    <w:p w14:paraId="564C4815" w14:textId="77777777" w:rsidR="000C5671" w:rsidRPr="000C5671" w:rsidRDefault="000C5671" w:rsidP="000C5671">
      <w:pPr>
        <w:shd w:val="clear" w:color="auto" w:fill="FFFFFF"/>
        <w:spacing w:line="288" w:lineRule="atLeast"/>
        <w:ind w:firstLine="540"/>
        <w:jc w:val="both"/>
        <w:rPr>
          <w:sz w:val="30"/>
          <w:szCs w:val="30"/>
        </w:rPr>
      </w:pPr>
      <w:r w:rsidRPr="000C5671">
        <w:rPr>
          <w:rStyle w:val="blk"/>
          <w:sz w:val="30"/>
          <w:szCs w:val="30"/>
        </w:rPr>
        <w:t>Вместе с тем обращаем внимание, что в реализацию положений </w:t>
      </w:r>
      <w:r w:rsidRPr="000C5671">
        <w:rPr>
          <w:rStyle w:val="a3"/>
          <w:color w:val="auto"/>
          <w:sz w:val="30"/>
          <w:szCs w:val="30"/>
          <w:u w:val="none"/>
        </w:rPr>
        <w:t>части 22 статьи 22</w:t>
      </w:r>
      <w:r w:rsidRPr="000C5671">
        <w:rPr>
          <w:rStyle w:val="blk"/>
          <w:sz w:val="30"/>
          <w:szCs w:val="30"/>
        </w:rPr>
        <w:t> Закона № 44-ФЗ в соответствии с </w:t>
      </w:r>
      <w:r w:rsidRPr="000C5671">
        <w:rPr>
          <w:rStyle w:val="a3"/>
          <w:color w:val="auto"/>
          <w:sz w:val="30"/>
          <w:szCs w:val="30"/>
          <w:u w:val="none"/>
        </w:rPr>
        <w:t>постановлением</w:t>
      </w:r>
      <w:r w:rsidRPr="000C5671">
        <w:rPr>
          <w:rStyle w:val="blk"/>
          <w:sz w:val="30"/>
          <w:szCs w:val="30"/>
        </w:rPr>
        <w:t> Правительства Российской Федерации от 11 сентября 2015 г. № 964 приказом Минстроя России от 23 декабря 2019 г. № 841/</w:t>
      </w:r>
      <w:proofErr w:type="spellStart"/>
      <w:r w:rsidRPr="000C5671">
        <w:rPr>
          <w:rStyle w:val="blk"/>
          <w:sz w:val="30"/>
          <w:szCs w:val="30"/>
        </w:rPr>
        <w:t>пр</w:t>
      </w:r>
      <w:proofErr w:type="spellEnd"/>
      <w:r w:rsidRPr="000C5671">
        <w:rPr>
          <w:rStyle w:val="blk"/>
          <w:sz w:val="30"/>
          <w:szCs w:val="30"/>
        </w:rPr>
        <w:t xml:space="preserve"> утвержден </w:t>
      </w:r>
      <w:r w:rsidRPr="000C5671">
        <w:rPr>
          <w:rStyle w:val="a3"/>
          <w:color w:val="auto"/>
          <w:sz w:val="30"/>
          <w:szCs w:val="30"/>
          <w:u w:val="none"/>
        </w:rPr>
        <w:t>порядок</w:t>
      </w:r>
      <w:r w:rsidRPr="000C5671">
        <w:rPr>
          <w:rStyle w:val="blk"/>
          <w:sz w:val="30"/>
          <w:szCs w:val="30"/>
        </w:rPr>
        <w:t> определения НМЦК,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7764404" w14:textId="77777777" w:rsidR="000C5671" w:rsidRPr="000C5671" w:rsidRDefault="000C5671" w:rsidP="000C5671">
      <w:pPr>
        <w:shd w:val="clear" w:color="auto" w:fill="FFFFFF"/>
        <w:spacing w:line="288" w:lineRule="atLeast"/>
        <w:rPr>
          <w:sz w:val="30"/>
          <w:szCs w:val="30"/>
        </w:rPr>
      </w:pPr>
      <w:r w:rsidRPr="000C5671">
        <w:rPr>
          <w:rStyle w:val="nobr"/>
          <w:sz w:val="30"/>
          <w:szCs w:val="30"/>
        </w:rPr>
        <w:t> </w:t>
      </w:r>
    </w:p>
    <w:p w14:paraId="1F1C26FF" w14:textId="77777777" w:rsidR="000C5671" w:rsidRPr="000C5671" w:rsidRDefault="000C5671" w:rsidP="000C5671">
      <w:pPr>
        <w:shd w:val="clear" w:color="auto" w:fill="FFFFFF"/>
        <w:spacing w:line="288" w:lineRule="atLeast"/>
        <w:jc w:val="right"/>
        <w:rPr>
          <w:sz w:val="30"/>
          <w:szCs w:val="30"/>
        </w:rPr>
      </w:pPr>
      <w:r w:rsidRPr="000C5671">
        <w:rPr>
          <w:rStyle w:val="blk"/>
          <w:sz w:val="30"/>
          <w:szCs w:val="30"/>
        </w:rPr>
        <w:t>Заместитель директора Департамента</w:t>
      </w:r>
    </w:p>
    <w:p w14:paraId="1610BA70" w14:textId="77777777" w:rsidR="000C5671" w:rsidRPr="000C5671" w:rsidRDefault="000C5671" w:rsidP="000C5671">
      <w:pPr>
        <w:shd w:val="clear" w:color="auto" w:fill="FFFFFF"/>
        <w:spacing w:line="288" w:lineRule="atLeast"/>
        <w:jc w:val="right"/>
        <w:rPr>
          <w:sz w:val="30"/>
          <w:szCs w:val="30"/>
        </w:rPr>
      </w:pPr>
      <w:r w:rsidRPr="000C5671">
        <w:rPr>
          <w:rStyle w:val="blk"/>
          <w:sz w:val="30"/>
          <w:szCs w:val="30"/>
        </w:rPr>
        <w:t>Д.А.ГОТОВЦЕВ</w:t>
      </w:r>
    </w:p>
    <w:p w14:paraId="1ACD1E33" w14:textId="77777777" w:rsidR="000C5671" w:rsidRPr="000C5671" w:rsidRDefault="000C5671" w:rsidP="000C5671">
      <w:pPr>
        <w:shd w:val="clear" w:color="auto" w:fill="FFFFFF"/>
        <w:spacing w:line="288" w:lineRule="atLeast"/>
        <w:rPr>
          <w:sz w:val="30"/>
          <w:szCs w:val="30"/>
        </w:rPr>
      </w:pPr>
      <w:r w:rsidRPr="000C5671">
        <w:rPr>
          <w:rStyle w:val="blk"/>
          <w:sz w:val="30"/>
          <w:szCs w:val="30"/>
        </w:rPr>
        <w:t>22.05.2020</w:t>
      </w:r>
    </w:p>
    <w:p w14:paraId="4A0C5741" w14:textId="77777777" w:rsidR="000C5671" w:rsidRPr="000C5671" w:rsidRDefault="000C5671" w:rsidP="000C5671">
      <w:pPr>
        <w:shd w:val="clear" w:color="auto" w:fill="FFFFFF"/>
        <w:spacing w:line="288" w:lineRule="atLeast"/>
        <w:rPr>
          <w:sz w:val="30"/>
          <w:szCs w:val="30"/>
        </w:rPr>
      </w:pPr>
      <w:r w:rsidRPr="000C5671">
        <w:rPr>
          <w:rStyle w:val="nobr"/>
          <w:sz w:val="30"/>
          <w:szCs w:val="30"/>
        </w:rPr>
        <w:t> </w:t>
      </w:r>
    </w:p>
    <w:p w14:paraId="567C3274" w14:textId="77777777" w:rsidR="000C5671" w:rsidRPr="000C5671" w:rsidRDefault="000C5671" w:rsidP="000C5671">
      <w:pPr>
        <w:shd w:val="clear" w:color="auto" w:fill="FFFFFF"/>
        <w:spacing w:line="288" w:lineRule="atLeast"/>
        <w:rPr>
          <w:rStyle w:val="blk"/>
          <w:rFonts w:ascii="Arial" w:hAnsi="Arial" w:cs="Arial"/>
          <w:b/>
          <w:bCs/>
          <w:sz w:val="30"/>
          <w:szCs w:val="30"/>
        </w:rPr>
      </w:pPr>
      <w:r w:rsidRPr="000C5671">
        <w:rPr>
          <w:rStyle w:val="nobr"/>
          <w:sz w:val="30"/>
          <w:szCs w:val="30"/>
        </w:rPr>
        <w:t> </w:t>
      </w:r>
    </w:p>
    <w:p w14:paraId="75A85DCF" w14:textId="77777777" w:rsidR="00034B87" w:rsidRPr="000C5671" w:rsidRDefault="000C5671"/>
    <w:sectPr w:rsidR="00034B87" w:rsidRPr="000C5671">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1-05-14T15:50:00Z" w:initials="L">
    <w:p w14:paraId="63542CEA" w14:textId="77777777" w:rsidR="000C5671" w:rsidRDefault="000C5671">
      <w:pPr>
        <w:pStyle w:val="a5"/>
      </w:pPr>
      <w:r>
        <w:rPr>
          <w:rStyle w:val="a4"/>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542CE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71"/>
    <w:rsid w:val="000C5671"/>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3C9D"/>
  <w15:chartTrackingRefBased/>
  <w15:docId w15:val="{5EEBAFF2-B935-4BEB-A655-2AAAEB29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6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671"/>
    <w:rPr>
      <w:color w:val="0000FF"/>
      <w:u w:val="single"/>
    </w:rPr>
  </w:style>
  <w:style w:type="character" w:customStyle="1" w:styleId="blk">
    <w:name w:val="blk"/>
    <w:basedOn w:val="a0"/>
    <w:rsid w:val="000C5671"/>
  </w:style>
  <w:style w:type="character" w:customStyle="1" w:styleId="nobr">
    <w:name w:val="nobr"/>
    <w:basedOn w:val="a0"/>
    <w:rsid w:val="000C5671"/>
  </w:style>
  <w:style w:type="character" w:styleId="a4">
    <w:name w:val="annotation reference"/>
    <w:basedOn w:val="a0"/>
    <w:uiPriority w:val="99"/>
    <w:semiHidden/>
    <w:unhideWhenUsed/>
    <w:rsid w:val="000C5671"/>
    <w:rPr>
      <w:sz w:val="16"/>
      <w:szCs w:val="16"/>
    </w:rPr>
  </w:style>
  <w:style w:type="paragraph" w:styleId="a5">
    <w:name w:val="annotation text"/>
    <w:basedOn w:val="a"/>
    <w:link w:val="a6"/>
    <w:uiPriority w:val="99"/>
    <w:semiHidden/>
    <w:unhideWhenUsed/>
    <w:rsid w:val="000C5671"/>
    <w:pPr>
      <w:spacing w:line="240" w:lineRule="auto"/>
    </w:pPr>
    <w:rPr>
      <w:sz w:val="20"/>
      <w:szCs w:val="20"/>
    </w:rPr>
  </w:style>
  <w:style w:type="character" w:customStyle="1" w:styleId="a6">
    <w:name w:val="Текст примечания Знак"/>
    <w:basedOn w:val="a0"/>
    <w:link w:val="a5"/>
    <w:uiPriority w:val="99"/>
    <w:semiHidden/>
    <w:rsid w:val="000C5671"/>
    <w:rPr>
      <w:sz w:val="20"/>
      <w:szCs w:val="20"/>
    </w:rPr>
  </w:style>
  <w:style w:type="paragraph" w:styleId="a7">
    <w:name w:val="annotation subject"/>
    <w:basedOn w:val="a5"/>
    <w:next w:val="a5"/>
    <w:link w:val="a8"/>
    <w:uiPriority w:val="99"/>
    <w:semiHidden/>
    <w:unhideWhenUsed/>
    <w:rsid w:val="000C5671"/>
    <w:rPr>
      <w:b/>
      <w:bCs/>
    </w:rPr>
  </w:style>
  <w:style w:type="character" w:customStyle="1" w:styleId="a8">
    <w:name w:val="Тема примечания Знак"/>
    <w:basedOn w:val="a6"/>
    <w:link w:val="a7"/>
    <w:uiPriority w:val="99"/>
    <w:semiHidden/>
    <w:rsid w:val="000C5671"/>
    <w:rPr>
      <w:b/>
      <w:bCs/>
      <w:sz w:val="20"/>
      <w:szCs w:val="20"/>
    </w:rPr>
  </w:style>
  <w:style w:type="paragraph" w:styleId="a9">
    <w:name w:val="Balloon Text"/>
    <w:basedOn w:val="a"/>
    <w:link w:val="aa"/>
    <w:uiPriority w:val="99"/>
    <w:semiHidden/>
    <w:unhideWhenUsed/>
    <w:rsid w:val="000C56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C5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2021-05-14T10:49:00Z</dcterms:created>
  <dcterms:modified xsi:type="dcterms:W3CDTF">2021-05-14T10:51:00Z</dcterms:modified>
</cp:coreProperties>
</file>