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01" w:rsidRPr="00403B01" w:rsidRDefault="00403B01" w:rsidP="00403B01">
      <w:pPr>
        <w:shd w:val="clear" w:color="auto" w:fill="FFFFFF"/>
        <w:spacing w:before="100" w:beforeAutospacing="1" w:after="100" w:afterAutospacing="1"/>
        <w:rPr>
          <w:b/>
          <w:bCs/>
          <w:sz w:val="21"/>
          <w:szCs w:val="21"/>
        </w:rPr>
      </w:pPr>
      <w:r>
        <w:t xml:space="preserve">                  </w:t>
      </w:r>
      <w:bookmarkStart w:id="0" w:name="_GoBack"/>
      <w:bookmarkEnd w:id="0"/>
      <w:r>
        <w:t xml:space="preserve"> </w:t>
      </w:r>
      <w:hyperlink r:id="rId4" w:tgtFrame="_blank" w:history="1"/>
      <w:r w:rsidRPr="00403B01">
        <w:rPr>
          <w:b/>
          <w:bCs/>
        </w:rPr>
        <w:t>МИНИСТЕРСТВО ФИНАНСОВ РОССИЙСКОЙ ФЕДЕРАЦИИ</w:t>
      </w:r>
    </w:p>
    <w:p w:rsidR="00403B01" w:rsidRPr="00403B01" w:rsidRDefault="00403B01" w:rsidP="00403B01">
      <w:pPr>
        <w:jc w:val="center"/>
        <w:rPr>
          <w:b/>
          <w:bCs/>
          <w:sz w:val="21"/>
          <w:szCs w:val="21"/>
        </w:rPr>
      </w:pPr>
      <w:r w:rsidRPr="00403B01">
        <w:rPr>
          <w:b/>
          <w:bCs/>
        </w:rPr>
        <w:t> </w:t>
      </w:r>
    </w:p>
    <w:p w:rsidR="00403B01" w:rsidRPr="00403B01" w:rsidRDefault="00403B01" w:rsidP="00403B01">
      <w:pPr>
        <w:jc w:val="center"/>
        <w:rPr>
          <w:b/>
          <w:bCs/>
          <w:sz w:val="21"/>
          <w:szCs w:val="21"/>
        </w:rPr>
      </w:pPr>
      <w:r w:rsidRPr="00403B01">
        <w:rPr>
          <w:b/>
          <w:bCs/>
        </w:rPr>
        <w:t>ПИСЬМО</w:t>
      </w:r>
    </w:p>
    <w:p w:rsidR="00403B01" w:rsidRPr="00403B01" w:rsidRDefault="00403B01" w:rsidP="00403B01">
      <w:pPr>
        <w:jc w:val="center"/>
        <w:rPr>
          <w:b/>
          <w:bCs/>
          <w:sz w:val="21"/>
          <w:szCs w:val="21"/>
        </w:rPr>
      </w:pPr>
      <w:r w:rsidRPr="00403B01">
        <w:rPr>
          <w:b/>
          <w:bCs/>
        </w:rPr>
        <w:t>от 11 марта 2020 г. № 24-03-06/18515</w:t>
      </w:r>
    </w:p>
    <w:p w:rsidR="00403B01" w:rsidRPr="00403B01" w:rsidRDefault="00403B01" w:rsidP="00403B01">
      <w:pPr>
        <w:rPr>
          <w:sz w:val="21"/>
          <w:szCs w:val="21"/>
        </w:rPr>
      </w:pPr>
      <w:r w:rsidRPr="00403B01">
        <w:t> 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Департамент бюджетной политики в сфере контрактной системы Минфина России (далее - Департамент), рассмотрев обращение по вопросам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уменьшения и удержания обеспечения исполнения контракта, сообщает следующее.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 xml:space="preserve">В части удержания средств, предоставленных в качестве обеспечения исполнения контракта, отмечаем, что согласно части 1 статьи 2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Конституции Российской Федерации, Гражданского </w:t>
      </w:r>
      <w:hyperlink r:id="rId5" w:history="1">
        <w:r w:rsidRPr="00403B01">
          <w:t>кодекса</w:t>
        </w:r>
      </w:hyperlink>
      <w:r w:rsidRPr="00403B01">
        <w:t xml:space="preserve"> Российской Федерации (далее - ГК РФ), Бюджетного кодекса Российской Федерации (далее - БК РФ) и состоит из Закона № 44-ФЗ и других федеральных законов, регулирующих отношения, указанные в части 1 статьи 1 Закона № 44-ФЗ.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Частью 3 статьи 96 Закона № 44-ФЗ установлено, что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гарантийных обязательств, срок действия банковской гарантии определяются в соответствии с требованиями настоящего Федерального закона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№ 44-ФЗ.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lastRenderedPageBreak/>
        <w:t>Обязанность предоставления обеспечения исполнения контракта, предусмотренная Законом № 44-ФЗ, является мерой, направленной на защиту государственного или муниципального заказчика от возможных недобросовестных действий со стороны участника закупки, с которым заключается контракт, и реализуемой в целях повышения эффективности осуществления закупок.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Частью 6 статьи 96 Закона № 44-ФЗ установлено, что размер обеспечения исполнения контракта должен составлять от пяти до тридцати процентов начальной (максимальной) цены контракта, указанной в извещении об осуществлении закупки. В случае если начальная (максимальная) цена контракта превышает пятьдесят миллионов рублей, заказчик обязан установить требование обеспечения исполнения контракта в размере от десяти до тридцати процентов начальной (максимальной) цены контракта, но не менее чем в размере аванса (если контрактом предусмотрена выплата аванса). В случае если аванс превышает тридцать процентов начальной (максимальной) цены контракта, размер обеспечения исполнения контракта устанавливается в размере аванса.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Согласно части 4 статьи 34 Закона № 44-ФЗ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В соответствии с частью 6 статьи 34 Закона №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Таким образом, исходя из системного толкования положений Закона № 44-ФЗ заказчик обязан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обязательства, предусмотренного государственным контрактом.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При этом следует отметить, что заказчик вправе производить оплату по контракту за вычетом соответствующего размера неустойки (штрафа, пени) или вправе вернуть обеспечение исполнения контракта, уменьшенное на размер начисленных штрафов, пеней.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Кроме того, согласно пункту 1 статьи 329 ГК РФ исполнение обязательств может обеспечиваться в том числе обеспечительным платежом и другими способами, предусмотренными законом или договором.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Статьей 381.1 ГК РФ установлено, что денежное обязательство, в том числе обязанность возместить убытки или уплатить неустойку в случае нарушения договора, и обязательство, возникшее по основаниям, предусмотренным пунктом 2 статьи 1062 Гражданского кодекса, по соглашению сторон могут быть обеспечены внесением одной из сторон в пользу другой стороны определенной денежной суммы (обеспечительный платеж). Обеспечительным платежом может быть обеспечено обязательство, которое возникнет в будущем.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При наступлении обстоятельств, предусмотренных договором, сумма обеспечительного платежа засчитывается в счет исполнения соответствующего обязательства.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Таким образом, в случае неисполнения поставщиком (подрядчиком, исполнителем) обязательства, невозвращения выплаченного заказчиком аванса денежные средства, внесенные в качестве обеспечения исполнения контракта на счет заказчика, в соответствии с частью 3 статьи 96 Закона № 44-ФЗ удерживаются.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 xml:space="preserve">Департамент отмечает, что в соответствии с позицией Верховного Суда Российской Федерации, утвержденной Президиумом Верховного Суда Российской Федерации от 28 июня 2017 г. в Обзоре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случае исполнения контракта с просрочкой </w:t>
      </w:r>
      <w:r w:rsidRPr="00403B01">
        <w:lastRenderedPageBreak/>
        <w:t>обеспечительный платеж удерживается заказчиком в размере, равном размеру имущественных требований заказчика к поставщику (подрядчику, исполнителю), если иное не предусмотрено контрактом.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Учитывая изложенное, порядок удержания и возврата денежных средств, внесенных поставщиком (подрядчиком, исполнителем) в качестве обеспечения исполнения контракта, определяется в соответствии с документацией о закупке, контрактом и ГК РФ.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Вместе с тем Департамент обращает внимание, что согласно положениям статьи 41 БК РФ средства от применения мер гражданско-правовой ответственности относятся к неналоговым доходам бюджетов бюджетной системы Российской Федерации.</w:t>
      </w:r>
    </w:p>
    <w:p w:rsidR="00403B01" w:rsidRPr="00403B01" w:rsidRDefault="00403B01" w:rsidP="00403B01">
      <w:pPr>
        <w:ind w:firstLine="540"/>
        <w:jc w:val="both"/>
        <w:rPr>
          <w:sz w:val="21"/>
          <w:szCs w:val="21"/>
        </w:rPr>
      </w:pPr>
      <w:r w:rsidRPr="00403B01">
        <w:t>При этом платежи, являющиеся источниками формирования доходов бюджетов бюджетной системы Российской Федерации, согласно нормам статьи 40 БК РФ зачисляются на счета органов Федерального казначейства для их распределения этими органами в соответствии с установленными нормативами между бюджетами бюджетной системы Российской Федерации.</w:t>
      </w:r>
    </w:p>
    <w:p w:rsidR="00403B01" w:rsidRPr="00403B01" w:rsidRDefault="00403B01" w:rsidP="00403B01">
      <w:pPr>
        <w:rPr>
          <w:sz w:val="21"/>
          <w:szCs w:val="21"/>
        </w:rPr>
      </w:pPr>
      <w:r w:rsidRPr="00403B01">
        <w:t> </w:t>
      </w:r>
    </w:p>
    <w:p w:rsidR="00403B01" w:rsidRPr="00403B01" w:rsidRDefault="00403B01" w:rsidP="00403B01">
      <w:pPr>
        <w:jc w:val="right"/>
        <w:rPr>
          <w:sz w:val="21"/>
          <w:szCs w:val="21"/>
        </w:rPr>
      </w:pPr>
      <w:r w:rsidRPr="00403B01">
        <w:t>Заместитель директора Департамента</w:t>
      </w:r>
    </w:p>
    <w:p w:rsidR="00403B01" w:rsidRPr="00403B01" w:rsidRDefault="00403B01" w:rsidP="00403B01">
      <w:pPr>
        <w:jc w:val="right"/>
        <w:rPr>
          <w:sz w:val="21"/>
          <w:szCs w:val="21"/>
        </w:rPr>
      </w:pPr>
      <w:r w:rsidRPr="00403B01">
        <w:t>Д.А.ГОТОВЦЕВ</w:t>
      </w:r>
    </w:p>
    <w:p w:rsidR="00403B01" w:rsidRPr="00403B01" w:rsidRDefault="00403B01" w:rsidP="00403B01">
      <w:pPr>
        <w:rPr>
          <w:sz w:val="21"/>
          <w:szCs w:val="21"/>
        </w:rPr>
      </w:pPr>
      <w:r w:rsidRPr="00403B01">
        <w:t>11.03.2020</w:t>
      </w:r>
    </w:p>
    <w:p w:rsidR="00403B01" w:rsidRPr="00403B01" w:rsidRDefault="00403B01" w:rsidP="00403B01">
      <w:pPr>
        <w:rPr>
          <w:sz w:val="21"/>
          <w:szCs w:val="21"/>
        </w:rPr>
      </w:pPr>
      <w:r w:rsidRPr="00403B01">
        <w:t> </w:t>
      </w:r>
    </w:p>
    <w:p w:rsidR="00F01971" w:rsidRPr="00403B01" w:rsidRDefault="00F01971"/>
    <w:sectPr w:rsidR="00F01971" w:rsidRPr="0040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01"/>
    <w:rsid w:val="00403B01"/>
    <w:rsid w:val="00F0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EDFC"/>
  <w15:chartTrackingRefBased/>
  <w15:docId w15:val="{B3EA827A-2CD1-452D-8CAC-6FC65F9A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09BEA8AAE3A610F02D1BD22FE4F61ADF&amp;req=doc&amp;base=LAW&amp;n=340325&amp;REFFIELD=134&amp;REFDST=100008&amp;REFDOC=199524&amp;REFBASE=QUEST&amp;stat=refcode%3D16876%3Bindex%3D12&amp;date=06.06.2021&amp;demo=2" TargetMode="External"/><Relationship Id="rId4" Type="http://schemas.openxmlformats.org/officeDocument/2006/relationships/hyperlink" Target="http://www.consultant.ru/cons/cgi/online.cgi?req=doc&amp;base=QUEST&amp;n=199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2021-06-07T04:36:00Z</dcterms:created>
  <dcterms:modified xsi:type="dcterms:W3CDTF">2021-06-07T04:38:00Z</dcterms:modified>
</cp:coreProperties>
</file>