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13D" w:rsidRPr="00CD113D" w:rsidRDefault="00494082" w:rsidP="00494082">
      <w:pPr>
        <w:shd w:val="clear" w:color="auto" w:fill="FFFFFF"/>
        <w:spacing w:after="0" w:line="312" w:lineRule="atLeast"/>
        <w:outlineLvl w:val="0"/>
        <w:rPr>
          <w:rFonts w:ascii="Helvetica" w:eastAsia="Times New Roman" w:hAnsi="Helvetica" w:cs="Times New Roman"/>
          <w:b/>
          <w:bCs/>
          <w:kern w:val="36"/>
          <w:sz w:val="25"/>
          <w:szCs w:val="25"/>
          <w:lang w:eastAsia="ru-RU"/>
        </w:rPr>
      </w:pPr>
      <w:r w:rsidRPr="00494082">
        <w:rPr>
          <w:rFonts w:ascii="Helvetica" w:eastAsia="Times New Roman" w:hAnsi="Helvetica" w:cs="Times New Roman"/>
          <w:b/>
          <w:bCs/>
          <w:kern w:val="36"/>
          <w:sz w:val="25"/>
          <w:szCs w:val="25"/>
          <w:lang w:eastAsia="ru-RU"/>
        </w:rPr>
        <w:t>Письмо Минфина России и Федерального казначейства от 23.03.2021 № 02-</w:t>
      </w:r>
      <w:r w:rsidRPr="00CD113D">
        <w:rPr>
          <w:rFonts w:ascii="Helvetica" w:eastAsia="Times New Roman" w:hAnsi="Helvetica" w:cs="Times New Roman"/>
          <w:b/>
          <w:bCs/>
          <w:kern w:val="36"/>
          <w:sz w:val="25"/>
          <w:szCs w:val="25"/>
          <w:lang w:eastAsia="ru-RU"/>
        </w:rPr>
        <w:t xml:space="preserve">06-07/21091 / 07-04-05/02-6050 </w:t>
      </w:r>
      <w:r w:rsidRPr="00CD113D">
        <w:rPr>
          <w:rFonts w:eastAsia="Times New Roman" w:cs="Times New Roman"/>
          <w:b/>
          <w:bCs/>
          <w:kern w:val="36"/>
          <w:sz w:val="25"/>
          <w:szCs w:val="25"/>
          <w:lang w:eastAsia="ru-RU"/>
        </w:rPr>
        <w:t>«</w:t>
      </w:r>
      <w:r w:rsidRPr="00494082">
        <w:rPr>
          <w:rFonts w:ascii="Helvetica" w:eastAsia="Times New Roman" w:hAnsi="Helvetica" w:cs="Times New Roman"/>
          <w:b/>
          <w:bCs/>
          <w:kern w:val="36"/>
          <w:sz w:val="25"/>
          <w:szCs w:val="25"/>
          <w:lang w:eastAsia="ru-RU"/>
        </w:rPr>
        <w:t xml:space="preserve">О дополнительных критериях по раскрытию информации при составлении и представлении в 2021 году месячной и квартальной бюджетной отчетности, консолидированной бухгалтерской отчетности государственных (муниципальных) бюджетных и автономных учреждений главными администраторами средств федерального бюджета и сроках представления такой </w:t>
      </w:r>
      <w:proofErr w:type="gramStart"/>
      <w:r w:rsidRPr="00494082">
        <w:rPr>
          <w:rFonts w:ascii="Helvetica" w:eastAsia="Times New Roman" w:hAnsi="Helvetica" w:cs="Times New Roman"/>
          <w:b/>
          <w:bCs/>
          <w:kern w:val="36"/>
          <w:sz w:val="25"/>
          <w:szCs w:val="25"/>
          <w:lang w:eastAsia="ru-RU"/>
        </w:rPr>
        <w:t>отчетности»</w:t>
      </w:r>
      <w:r w:rsidR="00CD113D" w:rsidRPr="00CD113D">
        <w:rPr>
          <w:rFonts w:ascii="Helvetica" w:eastAsia="Times New Roman" w:hAnsi="Helvetica" w:cs="Times New Roman"/>
          <w:b/>
          <w:bCs/>
          <w:kern w:val="36"/>
          <w:sz w:val="25"/>
          <w:szCs w:val="25"/>
          <w:lang w:eastAsia="ru-RU"/>
        </w:rPr>
        <w:t>&lt;</w:t>
      </w:r>
      <w:proofErr w:type="spellStart"/>
      <w:proofErr w:type="gramEnd"/>
      <w:r w:rsidR="00CD113D" w:rsidRPr="00CD113D">
        <w:rPr>
          <w:rFonts w:ascii="Helvetica" w:eastAsia="Times New Roman" w:hAnsi="Helvetica" w:cs="Times New Roman"/>
          <w:b/>
          <w:bCs/>
          <w:kern w:val="36"/>
          <w:sz w:val="25"/>
          <w:szCs w:val="25"/>
          <w:lang w:eastAsia="ru-RU"/>
        </w:rPr>
        <w:t>br</w:t>
      </w:r>
      <w:proofErr w:type="spellEnd"/>
      <w:r w:rsidR="00CD113D" w:rsidRPr="00CD113D">
        <w:rPr>
          <w:rFonts w:ascii="Helvetica" w:eastAsia="Times New Roman" w:hAnsi="Helvetica" w:cs="Times New Roman"/>
          <w:b/>
          <w:bCs/>
          <w:kern w:val="36"/>
          <w:sz w:val="25"/>
          <w:szCs w:val="25"/>
          <w:lang w:eastAsia="ru-RU"/>
        </w:rPr>
        <w:t>&gt;&lt;</w:t>
      </w:r>
      <w:proofErr w:type="spellStart"/>
      <w:r w:rsidR="00CD113D" w:rsidRPr="00CD113D">
        <w:rPr>
          <w:rFonts w:ascii="Helvetica" w:eastAsia="Times New Roman" w:hAnsi="Helvetica" w:cs="Times New Roman"/>
          <w:b/>
          <w:bCs/>
          <w:kern w:val="36"/>
          <w:sz w:val="25"/>
          <w:szCs w:val="25"/>
          <w:lang w:eastAsia="ru-RU"/>
        </w:rPr>
        <w:t>br</w:t>
      </w:r>
      <w:proofErr w:type="spellEnd"/>
      <w:r w:rsidR="00CD113D" w:rsidRPr="00CD113D">
        <w:rPr>
          <w:rFonts w:ascii="Helvetica" w:eastAsia="Times New Roman" w:hAnsi="Helvetica" w:cs="Times New Roman"/>
          <w:b/>
          <w:bCs/>
          <w:kern w:val="36"/>
          <w:sz w:val="25"/>
          <w:szCs w:val="25"/>
          <w:lang w:eastAsia="ru-RU"/>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Составление и представление главными администраторами (распорядителями, получателями) средств федерального бюджета, федеральными государственными бюджетными, автономными учреждениями (далее - учреждения) месячной и квартальной бюджетной отчетности и бухгалтерской отчетности государственных бюджетных и автономных учреждений осуществляется в соответствии с требованиями:</w:t>
      </w:r>
      <w:r w:rsidR="00CD113D" w:rsidRPr="00CD113D">
        <w:rPr>
          <w:rFonts w:ascii="Helvetica" w:hAnsi="Helvetica"/>
          <w:sz w:val="23"/>
          <w:szCs w:val="23"/>
        </w:rPr>
        <w:t>&lt;</w:t>
      </w:r>
      <w:proofErr w:type="spellStart"/>
      <w:proofErr w:type="gram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w:t>
      </w:r>
      <w:r w:rsidR="00CD113D" w:rsidRPr="00CD113D">
        <w:rPr>
          <w:rFonts w:ascii="Helvetica" w:hAnsi="Helvetica"/>
          <w:sz w:val="23"/>
          <w:szCs w:val="23"/>
        </w:rPr>
        <w:t>&lt;</w:t>
      </w:r>
      <w:proofErr w:type="spellStart"/>
      <w:proofErr w:type="gram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 33н;</w:t>
      </w:r>
      <w:r w:rsidR="00CD113D" w:rsidRPr="00CD113D">
        <w:rPr>
          <w:rFonts w:ascii="Helvetica" w:hAnsi="Helvetica"/>
          <w:sz w:val="23"/>
          <w:szCs w:val="23"/>
        </w:rPr>
        <w:t>&lt;</w:t>
      </w:r>
      <w:proofErr w:type="spellStart"/>
      <w:proofErr w:type="gram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Инструкции о порядке составления и представления дополнительных форм годовой и квартальной бюджетной отчетности об исполнении федерального бюджета, утвержденной приказом Минфина России</w:t>
      </w:r>
      <w:r w:rsidRPr="00CD113D">
        <w:rPr>
          <w:rFonts w:ascii="Helvetica" w:hAnsi="Helvetica"/>
          <w:sz w:val="23"/>
          <w:szCs w:val="23"/>
        </w:rPr>
        <w:br/>
        <w:t>от 01.03.2016 № 15н,</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а также с учетом критериев раскрытия информации в бюджетной (бухгалтерской) отчетности согласно приложению к настоящему </w:t>
      </w:r>
      <w:proofErr w:type="gramStart"/>
      <w:r w:rsidRPr="00CD113D">
        <w:rPr>
          <w:rFonts w:ascii="Helvetica" w:hAnsi="Helvetica"/>
          <w:sz w:val="23"/>
          <w:szCs w:val="23"/>
        </w:rPr>
        <w:t>письму.</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Представление консолидированной бюджетной (бухгалтерской) отчетности главными администраторами средств федерального бюджета осуществляется не позднее сроков, установленных приказом Федерального казначейства от 30.11.2020 № 36н «О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консолидированной месячной, квартальной и годовой бюджетной отчетности, консолидированной квартальной и годовой бухгалтерской отчетности федеральных бюджетных и автономных учреждений в 2021 году».</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Главными администраторами средств федерального бюджета, которым в 2021 году выделялись средства из резервного фонда Правительства Российской Федерации (или осуществлялось использование средств фонда, выделенных в предыдущие периоды) представляется информация об использовании средств резервного фонда Правительства Российской Федерации в соответствии с приказом Минфина России от 04.02.2021 № 12н года по состоянию на 01.04.2021, 01.07.2021, 01.10.2021 в период с 20 по 26 числа месяца, следующего за отчетным кварталом.</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Обращаем внимание, что в части сведений, не составляющих государственную тайну, Федеральным казначейством в ПУИО ГИИС «Электронный бюджет» осуществляется предварительное заполнение отдельных показателей указанных </w:t>
      </w:r>
      <w:proofErr w:type="gramStart"/>
      <w:r w:rsidRPr="00CD113D">
        <w:rPr>
          <w:rFonts w:ascii="Helvetica" w:hAnsi="Helvetica"/>
          <w:sz w:val="23"/>
          <w:szCs w:val="23"/>
        </w:rPr>
        <w:t>отчетов.</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В целях обеспечения достоверности бюджетной отчетности главных администраторов средств федерального бюджета о ходе исполнения бюджета, в том числе о принимаемых обязательствах, а также об объемах дебиторской и кредиторской задолженности, при установлении сроков предоставления отчетности подведомственными получателями бюджетных средств, бюджетными и автономными учреждениями, главным администраторам средств бюджета следует учитывать сроки </w:t>
      </w:r>
      <w:r w:rsidRPr="00CD113D">
        <w:rPr>
          <w:rFonts w:ascii="Helvetica" w:hAnsi="Helvetica"/>
          <w:sz w:val="23"/>
          <w:szCs w:val="23"/>
        </w:rPr>
        <w:lastRenderedPageBreak/>
        <w:t>предоставления контрагентами первичных учетных документов, являющихся основанием для отражения в учете операций по принятым денежным обязательствам и кредиторской задолженности, сложившиеся в рамках обычаев делового оборота.</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Обращаем внимание, что раскрытие данных в бюджетной (бухгалтерской) отчетности осуществляется по действующей бюджетной классификации с учетом порядка формирования и применения кодов бюджетной классификации Российской Федерации, их структуре и принципов назначения, утвержденного приказом Министерства финансов Российской Федерации от  06.06.2019 № 85н, кодов (перечней кодов) бюджетной классификации Российской Федерации на 2021 год (на 2021 год и на плановый период 2022 и 2023 годов), утвержденных приказом Министерства финансов Российской Федерации от 08.06.2020 № 99н, а также правил применения кодов классификации операций сектора государственного управления, утвержденных приказом Министерства финансов Российской Федерации от 29.11.2017 № 209н.</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Главные администраторы средств федерального бюджета, представляющие отдельные формы сводной отчетности по сведениям, содержащим государственную тайну, представляют отдельную Пояснительную записку (ф. 0503160), Пояснительную записку к балансу учреждения (ф. 0503760), в которой указывают только ту информацию, которая непосредственно касается сведений, содержащих государственную </w:t>
      </w:r>
      <w:proofErr w:type="gramStart"/>
      <w:r w:rsidRPr="00CD113D">
        <w:rPr>
          <w:rFonts w:ascii="Helvetica" w:hAnsi="Helvetica"/>
          <w:sz w:val="23"/>
          <w:szCs w:val="23"/>
        </w:rPr>
        <w:t>тайну.</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Заместитель</w:t>
      </w:r>
      <w:r w:rsidRPr="00CD113D">
        <w:rPr>
          <w:rFonts w:ascii="Helvetica" w:hAnsi="Helvetica"/>
          <w:sz w:val="23"/>
          <w:szCs w:val="23"/>
        </w:rPr>
        <w:br/>
        <w:t>Министра финансов</w:t>
      </w:r>
      <w:r w:rsidRPr="00CD113D">
        <w:rPr>
          <w:rFonts w:ascii="Helvetica" w:hAnsi="Helvetica"/>
          <w:sz w:val="23"/>
          <w:szCs w:val="23"/>
        </w:rPr>
        <w:br/>
        <w:t>Российской Федерации</w:t>
      </w:r>
      <w:r w:rsidRPr="00CD113D">
        <w:rPr>
          <w:rFonts w:ascii="Helvetica" w:hAnsi="Helvetica"/>
          <w:sz w:val="23"/>
          <w:szCs w:val="23"/>
        </w:rPr>
        <w:br/>
        <w:t>И.А. Окладникова</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Руководитель</w:t>
      </w:r>
      <w:r w:rsidRPr="00CD113D">
        <w:rPr>
          <w:rFonts w:ascii="Helvetica" w:hAnsi="Helvetica"/>
          <w:sz w:val="23"/>
          <w:szCs w:val="23"/>
        </w:rPr>
        <w:br/>
        <w:t>Федерального казначейства</w:t>
      </w:r>
      <w:r w:rsidRPr="00CD113D">
        <w:rPr>
          <w:rFonts w:ascii="Helvetica" w:hAnsi="Helvetica"/>
          <w:sz w:val="23"/>
          <w:szCs w:val="23"/>
        </w:rPr>
        <w:br/>
        <w:t xml:space="preserve">Р.Е. </w:t>
      </w:r>
      <w:proofErr w:type="spellStart"/>
      <w:r w:rsidRPr="00CD113D">
        <w:rPr>
          <w:rFonts w:ascii="Helvetica" w:hAnsi="Helvetica"/>
          <w:sz w:val="23"/>
          <w:szCs w:val="23"/>
        </w:rPr>
        <w:t>Артюхин</w:t>
      </w:r>
      <w:proofErr w:type="spellEnd"/>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jc w:val="right"/>
        <w:rPr>
          <w:rFonts w:ascii="Helvetica" w:hAnsi="Helvetica"/>
          <w:sz w:val="23"/>
          <w:szCs w:val="23"/>
        </w:rPr>
      </w:pPr>
      <w:r w:rsidRPr="00CD113D">
        <w:rPr>
          <w:rFonts w:ascii="Helvetica" w:hAnsi="Helvetica"/>
          <w:sz w:val="23"/>
          <w:szCs w:val="23"/>
        </w:rPr>
        <w:t>Приложение</w:t>
      </w:r>
      <w:r w:rsidRPr="00CD113D">
        <w:rPr>
          <w:rFonts w:ascii="Helvetica" w:hAnsi="Helvetica"/>
          <w:sz w:val="23"/>
          <w:szCs w:val="23"/>
        </w:rPr>
        <w:br/>
        <w:t>к письму Министерства финансов</w:t>
      </w:r>
      <w:r w:rsidRPr="00CD113D">
        <w:rPr>
          <w:rFonts w:ascii="Helvetica" w:hAnsi="Helvetica"/>
          <w:sz w:val="23"/>
          <w:szCs w:val="23"/>
        </w:rPr>
        <w:br/>
        <w:t>Российской Федерации</w:t>
      </w:r>
      <w:r w:rsidRPr="00CD113D">
        <w:rPr>
          <w:rFonts w:ascii="Helvetica" w:hAnsi="Helvetica"/>
          <w:sz w:val="23"/>
          <w:szCs w:val="23"/>
        </w:rPr>
        <w:br/>
        <w:t>и Федерального казначейства</w:t>
      </w:r>
      <w:r w:rsidRPr="00CD113D">
        <w:rPr>
          <w:rFonts w:ascii="Helvetica" w:hAnsi="Helvetica"/>
          <w:sz w:val="23"/>
          <w:szCs w:val="23"/>
        </w:rPr>
        <w:br/>
        <w:t>от 23.03.2021</w:t>
      </w:r>
      <w:r w:rsidRPr="00CD113D">
        <w:rPr>
          <w:rFonts w:ascii="Helvetica" w:hAnsi="Helvetica"/>
          <w:sz w:val="23"/>
          <w:szCs w:val="23"/>
        </w:rPr>
        <w:br/>
        <w:t>№ 02-06-07/21091 / 07-04-05/02-6050</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bookmarkStart w:id="0" w:name="_GoBack"/>
      <w:r w:rsidRPr="00CD113D">
        <w:rPr>
          <w:rStyle w:val="a4"/>
          <w:rFonts w:ascii="Helvetica" w:hAnsi="Helvetica"/>
          <w:sz w:val="23"/>
          <w:szCs w:val="23"/>
        </w:rPr>
        <w:t>I. Раскрытие информации в бюджетной отчетности</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Style w:val="a4"/>
          <w:rFonts w:ascii="Helvetica" w:hAnsi="Helvetica"/>
          <w:sz w:val="23"/>
          <w:szCs w:val="23"/>
        </w:rPr>
        <w:t xml:space="preserve">1. В части бюджетной отчетности на первое число месяца, за исключением отчетности на 1 апреля, 1 июля, 1 октября текущего года, 1 января года, следующего за отчетным (месячная бюджетная </w:t>
      </w:r>
      <w:proofErr w:type="gramStart"/>
      <w:r w:rsidRPr="00CD113D">
        <w:rPr>
          <w:rStyle w:val="a4"/>
          <w:rFonts w:ascii="Helvetica" w:hAnsi="Helvetica"/>
          <w:sz w:val="23"/>
          <w:szCs w:val="23"/>
        </w:rPr>
        <w:t>отчетность)</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1.1. Раскрытие информации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(далее – Отчет (ф. 0503127) в составе месячной отчетности осуществляется без отражения показателей в графах 4, 9 раздела 1 и раздела </w:t>
      </w:r>
      <w:proofErr w:type="gramStart"/>
      <w:r w:rsidRPr="00CD113D">
        <w:rPr>
          <w:rFonts w:ascii="Helvetica" w:hAnsi="Helvetica"/>
          <w:sz w:val="23"/>
          <w:szCs w:val="23"/>
        </w:rPr>
        <w:t>3.</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1.2. Составление и представление Пояснительной записки (ф. 0503160) осуществляется с учетом следующих </w:t>
      </w:r>
      <w:proofErr w:type="gramStart"/>
      <w:r w:rsidRPr="00CD113D">
        <w:rPr>
          <w:rFonts w:ascii="Helvetica" w:hAnsi="Helvetica"/>
          <w:sz w:val="23"/>
          <w:szCs w:val="23"/>
        </w:rPr>
        <w:t>положений.</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1.2.1. Главные администраторы средств федерального бюджета представляют Сведения (ф. 0503178), за исключением сведений об остатках по средствам во временном </w:t>
      </w:r>
      <w:proofErr w:type="gramStart"/>
      <w:r w:rsidRPr="00CD113D">
        <w:rPr>
          <w:rFonts w:ascii="Helvetica" w:hAnsi="Helvetica"/>
          <w:sz w:val="23"/>
          <w:szCs w:val="23"/>
        </w:rPr>
        <w:t>распоряжении.</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1.2.2. В случае наличия расхождений по показателям консолидируемых расчетов (переданные и полученные межбюджетные трансферты; возвраты и поступления от возвратов неиспользованных (взысканных, восстановленных) межбюджетных трансфертов прошлых лет; предоставленные и погашенные бюджетные кредиты и государственный долг; расходы на обслуживание государственного долга и доходы по процентам по бюджетным кредитам, штрафам), которые связаны с зачислением </w:t>
      </w:r>
      <w:r w:rsidRPr="00CD113D">
        <w:rPr>
          <w:rFonts w:ascii="Helvetica" w:hAnsi="Helvetica"/>
          <w:sz w:val="23"/>
          <w:szCs w:val="23"/>
        </w:rPr>
        <w:lastRenderedPageBreak/>
        <w:t>платежей в состав невыясненных поступлений, а также с некорректным применением кода бюджетной классификации, к Пояснительной записке (ф. 0503160) в обязательном порядке прилагаются копия Уведомления об уточнении вида и принадлежности платежа (ф. 0531809) или копия иного документа, подтверждающего уточнение платежа.</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1.3. Дополнительно к отчетам, представляемым в составе месячной бюджетной отчетности согласно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Инструкция № 191н), составляются и представляются:</w:t>
      </w:r>
      <w:r w:rsidR="00CD113D" w:rsidRPr="00CD113D">
        <w:rPr>
          <w:rFonts w:ascii="Helvetica" w:hAnsi="Helvetica"/>
          <w:sz w:val="23"/>
          <w:szCs w:val="23"/>
        </w:rPr>
        <w:t>&lt;</w:t>
      </w:r>
      <w:proofErr w:type="spellStart"/>
      <w:proofErr w:type="gram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1.3.1. главными администраторами средств федерального бюджета, имеющими в своей структуре загранучреждения:</w:t>
      </w:r>
      <w:r w:rsidR="00CD113D" w:rsidRPr="00CD113D">
        <w:rPr>
          <w:rFonts w:ascii="Helvetica" w:hAnsi="Helvetica"/>
          <w:sz w:val="23"/>
          <w:szCs w:val="23"/>
        </w:rPr>
        <w:t>&lt;</w:t>
      </w:r>
      <w:proofErr w:type="spellStart"/>
      <w:proofErr w:type="gram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Отчет (ф. 0503127) по кассовым операциям загранучреждений по расходам на выполнение функций указанных учреждений, произведенных сверх бюджетных ассигнований, установленных федеральным законом о федеральном бюджете на соответствующий финансовый год, в пределах неиспользованных остатков средств федерального бюджета и средств, полученных от приносящей доход деятельности по состоянию на 1 января 2021 года, а также доходов, полученных загранучреждениями в текущем финансовом году от приносящей доход деятельности (по разрешенным им видам деятельности) (далее – Отчет (ф. 0503127 Z) в части операций загранучреждений по дополнительным источникам);</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Сведения об остатках денежных средств на счетах получателя бюджетных средств (ф. 0503178) (далее – Сведения (ф. 0503178) в части остатков средств по дополнительным источникам на счетах, открытых загранучреждениям в кредитных организациях (далее – Сведения (ф. 0503178 Z), в составе Пояснительной записки (ф. 0503160</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В целях обеспечения корректного отражения кодов бюджетной классификации Российской Федерации в показателях раздела 2 Отчета (ф. 0503127 Z) главному распорядителю средств федерального бюджета не позднее десяти рабочих дней до срока представления Отчета (ф. 0503127 Z) в МОУ ФК следует сформировать в государственной интегрированной информационной системе управления общественными финансами «Электронный бюджет» и направить в Министерство финансов Российской Федерации Заявку на изменение справочника направлений расходов и целевых статей расходов бюджетов (заявка на добавление целевых статей расходов, этап бюджетного цикла – составление и ведение сводной бюджетной росписи), а также Заявку на новый код классификации расходов бюджетов по тем кодам бюджетной классификации, которые отсутствуют в Сводной бюджетной росписи главного распорядителя средств федерального бюджета на 2021 год, в целях включения их в справочники кодов бюджетной классификации Российской Федерации.</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1.3.2. главными администраторами средств федерального бюджета в целях обособления некассовых операций по связанным кредитам правительств иностранных государств, банков и фирм, предоставленным внутри страны (при их наличии) – Отчет (ф. 0503127 ПРП 600), Справка (ф. 0503125), Сведения (ф. 0503178) по указанным </w:t>
      </w:r>
      <w:proofErr w:type="gramStart"/>
      <w:r w:rsidRPr="00CD113D">
        <w:rPr>
          <w:rFonts w:ascii="Helvetica" w:hAnsi="Helvetica"/>
          <w:sz w:val="23"/>
          <w:szCs w:val="23"/>
        </w:rPr>
        <w:t>операциям.</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Style w:val="a4"/>
          <w:rFonts w:ascii="Helvetica" w:hAnsi="Helvetica"/>
          <w:sz w:val="23"/>
          <w:szCs w:val="23"/>
        </w:rPr>
        <w:t>2. В части квартальной бюджетной отчетности</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2.1 Раскрытие информации в квартальной бюджетной отчетности главными администраторами (администраторами) доходов федерального бюджета Отчета (ф. 0503127) осуществляется с учетом следующих </w:t>
      </w:r>
      <w:proofErr w:type="gramStart"/>
      <w:r w:rsidRPr="00CD113D">
        <w:rPr>
          <w:rFonts w:ascii="Helvetica" w:hAnsi="Helvetica"/>
          <w:sz w:val="23"/>
          <w:szCs w:val="23"/>
        </w:rPr>
        <w:t>положений.</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Прогнозные данные по доходам, отраженные в графе 4 Отчета (ф. 0503127) на 1 апреля, 1 июля и на 1 октября 2021 года, формируемого главными администраторами доходов федерального бюджета, должны соответствовать прогнозным данным, указанным в Распределении прогноза доходов федерального бюджета, учтенных в федеральном законе о федеральном бюджете (ф. 0501096)</w:t>
      </w:r>
      <w:bookmarkStart w:id="1" w:name="_ftnref1"/>
      <w:r w:rsidRPr="00CD113D">
        <w:rPr>
          <w:rFonts w:ascii="Helvetica" w:hAnsi="Helvetica"/>
          <w:sz w:val="23"/>
          <w:szCs w:val="23"/>
        </w:rPr>
        <w:fldChar w:fldCharType="begin"/>
      </w:r>
      <w:r w:rsidRPr="00CD113D">
        <w:rPr>
          <w:rFonts w:ascii="Helvetica" w:hAnsi="Helvetica"/>
          <w:sz w:val="23"/>
          <w:szCs w:val="23"/>
        </w:rPr>
        <w:instrText xml:space="preserve"> HYPERLINK "https://minfin.gov.ru/ru/document/?id_4=132990-pismo_minfina_rossii_i_federalnogo_kaznacheistva_ot_23.03.2021__02-06-0721091__07-04-0502-6050_o_dopolnitelnykh_kriteriyakh_po_raskrytiyu_informatsii_pri_sostavlenii_i_predst" \l "_ftn1" \o "" </w:instrText>
      </w:r>
      <w:r w:rsidRPr="00CD113D">
        <w:rPr>
          <w:rFonts w:ascii="Helvetica" w:hAnsi="Helvetica"/>
          <w:sz w:val="23"/>
          <w:szCs w:val="23"/>
        </w:rPr>
        <w:fldChar w:fldCharType="separate"/>
      </w:r>
      <w:r w:rsidRPr="00CD113D">
        <w:rPr>
          <w:rStyle w:val="a5"/>
          <w:rFonts w:ascii="Helvetica" w:hAnsi="Helvetica"/>
          <w:color w:val="auto"/>
          <w:sz w:val="23"/>
          <w:szCs w:val="23"/>
        </w:rPr>
        <w:t>[1]</w:t>
      </w:r>
      <w:r w:rsidRPr="00CD113D">
        <w:rPr>
          <w:rFonts w:ascii="Helvetica" w:hAnsi="Helvetica"/>
          <w:sz w:val="23"/>
          <w:szCs w:val="23"/>
        </w:rPr>
        <w:fldChar w:fldCharType="end"/>
      </w:r>
      <w:bookmarkEnd w:id="1"/>
      <w:r w:rsidRPr="00CD113D">
        <w:rPr>
          <w:rFonts w:ascii="Helvetica" w:hAnsi="Helvetica"/>
          <w:sz w:val="23"/>
          <w:szCs w:val="23"/>
        </w:rPr>
        <w:t xml:space="preserve"> (далее - Прогноз </w:t>
      </w:r>
      <w:r w:rsidRPr="00CD113D">
        <w:rPr>
          <w:rFonts w:ascii="Helvetica" w:hAnsi="Helvetica"/>
          <w:sz w:val="23"/>
          <w:szCs w:val="23"/>
        </w:rPr>
        <w:lastRenderedPageBreak/>
        <w:t>доходов), действующего по состоянию на отчетную дату, по детализированным видам доходов (кодам бюджетной классификации), по которым сформирован прогнозный показатель.</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При этом показатели Прогноза доходов, группирующие детализированные виды доходов, в графе 4 раздела 1 «Доходы бюджета» Отчета (ф. 0503127) не </w:t>
      </w:r>
      <w:proofErr w:type="gramStart"/>
      <w:r w:rsidRPr="00CD113D">
        <w:rPr>
          <w:rFonts w:ascii="Helvetica" w:hAnsi="Helvetica"/>
          <w:sz w:val="23"/>
          <w:szCs w:val="23"/>
        </w:rPr>
        <w:t>отражаются.</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В случае, если прогнозный показатель детализированного вида доходов сформирован по </w:t>
      </w:r>
      <w:proofErr w:type="spellStart"/>
      <w:r w:rsidRPr="00CD113D">
        <w:rPr>
          <w:rFonts w:ascii="Helvetica" w:hAnsi="Helvetica"/>
          <w:sz w:val="23"/>
          <w:szCs w:val="23"/>
        </w:rPr>
        <w:t>группировочному</w:t>
      </w:r>
      <w:proofErr w:type="spellEnd"/>
      <w:r w:rsidRPr="00CD113D">
        <w:rPr>
          <w:rFonts w:ascii="Helvetica" w:hAnsi="Helvetica"/>
          <w:sz w:val="23"/>
          <w:szCs w:val="23"/>
        </w:rPr>
        <w:t xml:space="preserve"> коду бюджетной классификации, по которому исполнение бюджета не осуществляется, в графе 4 раздела 1 «Доходы бюджета» соответствующей строки отражается такой прогнозный показатель, при этом в графах 5 – 8 формируется промежуточный итог исполнения бюджета по </w:t>
      </w:r>
      <w:proofErr w:type="gramStart"/>
      <w:r w:rsidRPr="00CD113D">
        <w:rPr>
          <w:rFonts w:ascii="Helvetica" w:hAnsi="Helvetica"/>
          <w:sz w:val="23"/>
          <w:szCs w:val="23"/>
        </w:rPr>
        <w:t>доходам.</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2.2. Информация в Сведениях (ф. 0503164) главными администраторами средств федерального бюджета отражается с учетом следующих </w:t>
      </w:r>
      <w:proofErr w:type="gramStart"/>
      <w:r w:rsidRPr="00CD113D">
        <w:rPr>
          <w:rFonts w:ascii="Helvetica" w:hAnsi="Helvetica"/>
          <w:sz w:val="23"/>
          <w:szCs w:val="23"/>
        </w:rPr>
        <w:t>особенностей.</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При формировании Сведений (ф. 0503164) на 1 апреля 2021 года показатели графы 3 «Утвержденные бюджетные назначения (прогнозные показатели)» по соответствующим кодам доходов федерального бюджета должны соответствовать показателям графы 5 Прогноза </w:t>
      </w:r>
      <w:proofErr w:type="gramStart"/>
      <w:r w:rsidRPr="00CD113D">
        <w:rPr>
          <w:rFonts w:ascii="Helvetica" w:hAnsi="Helvetica"/>
          <w:sz w:val="23"/>
          <w:szCs w:val="23"/>
        </w:rPr>
        <w:t>доходов.</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При формировании Сведений (ф. 0503164) на 1 июля 2021 года показатели графы 3 «Утвержденные бюджетные назначения (прогнозные показатели)» по соответствующим кодам доходов федерального бюджета должны соответствовать сумме показателей графы 5 и графы 9 Прогноза </w:t>
      </w:r>
      <w:proofErr w:type="gramStart"/>
      <w:r w:rsidRPr="00CD113D">
        <w:rPr>
          <w:rFonts w:ascii="Helvetica" w:hAnsi="Helvetica"/>
          <w:sz w:val="23"/>
          <w:szCs w:val="23"/>
        </w:rPr>
        <w:t>доходов.</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При формировании Сведений (ф. 0503164) на 1 октября 2021 года показатели графы 3 «Утвержденные бюджетные назначения (прогнозные показатели)» по соответствующим кодам доходов федерального бюджета должны соответствовать сумме показателей граф 5, 9, 13 Прогноза </w:t>
      </w:r>
      <w:proofErr w:type="gramStart"/>
      <w:r w:rsidRPr="00CD113D">
        <w:rPr>
          <w:rFonts w:ascii="Helvetica" w:hAnsi="Helvetica"/>
          <w:sz w:val="23"/>
          <w:szCs w:val="23"/>
        </w:rPr>
        <w:t>доходов.</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Показатели графы 6 раздела «Доходы бюджета» Сведений (ф. 0503164) не рассчитываются в случае, когда:</w:t>
      </w:r>
      <w:r w:rsidR="00CD113D" w:rsidRPr="00CD113D">
        <w:rPr>
          <w:rFonts w:ascii="Helvetica" w:hAnsi="Helvetica"/>
          <w:sz w:val="23"/>
          <w:szCs w:val="23"/>
        </w:rPr>
        <w:t>&lt;</w:t>
      </w:r>
      <w:proofErr w:type="spellStart"/>
      <w:proofErr w:type="gram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в графе 3 раздела «Доходы бюджета» прогнозные показатели доходов не отражаются;</w:t>
      </w:r>
      <w:r w:rsidR="00CD113D" w:rsidRPr="00CD113D">
        <w:rPr>
          <w:rFonts w:ascii="Helvetica" w:hAnsi="Helvetica"/>
          <w:sz w:val="23"/>
          <w:szCs w:val="23"/>
        </w:rPr>
        <w:t>&lt;</w:t>
      </w:r>
      <w:proofErr w:type="spellStart"/>
      <w:proofErr w:type="gram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 показатели графы 3 или графы 5 раздела 1 «Доходы бюджета» имеют отрицательное </w:t>
      </w:r>
      <w:proofErr w:type="gramStart"/>
      <w:r w:rsidRPr="00CD113D">
        <w:rPr>
          <w:rFonts w:ascii="Helvetica" w:hAnsi="Helvetica"/>
          <w:sz w:val="23"/>
          <w:szCs w:val="23"/>
        </w:rPr>
        <w:t>значение.</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В случае превышения показателей графы 3 над показателем графы 5 показатель отклонений исполнения (графа 7 раздела 1 «Доходы бюджета» Сведений (ф. 0503164) отражается со знаком «минус</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В случае отсутствия отклонений фактического исполнения от прогнозного показателя в графе 7 раздела 1 «Доходы бюджета» и раздела 3 «Источники финансирования дефицита бюджета» Сведений (ф. 0503164) согласно пункту 8 Инструкции № 191н в ячейке графы 7 по соответствующей строке отчета ставится </w:t>
      </w:r>
      <w:proofErr w:type="gramStart"/>
      <w:r w:rsidRPr="00CD113D">
        <w:rPr>
          <w:rFonts w:ascii="Helvetica" w:hAnsi="Helvetica"/>
          <w:sz w:val="23"/>
          <w:szCs w:val="23"/>
        </w:rPr>
        <w:t>прочерк.</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При условии установления главным администраторам средств федерального бюджета перечня кодов причин отклонений по доходам, источникам финансирования дефицита бюджета (в части поступлений) для их отражения в графе 8 соответственно разделов 1 «Доходы бюджета» и</w:t>
      </w:r>
      <w:r w:rsidRPr="00CD113D">
        <w:rPr>
          <w:rFonts w:ascii="Helvetica" w:hAnsi="Helvetica"/>
          <w:sz w:val="23"/>
          <w:szCs w:val="23"/>
        </w:rPr>
        <w:br/>
        <w:t xml:space="preserve">раздела 3 «Источники финансирования дефицита бюджета» Сведений (ф. 0503164) при представлении в </w:t>
      </w:r>
      <w:proofErr w:type="spellStart"/>
      <w:r w:rsidRPr="00CD113D">
        <w:rPr>
          <w:rFonts w:ascii="Helvetica" w:hAnsi="Helvetica"/>
          <w:sz w:val="23"/>
          <w:szCs w:val="23"/>
        </w:rPr>
        <w:t>ПУиО</w:t>
      </w:r>
      <w:proofErr w:type="spellEnd"/>
      <w:r w:rsidRPr="00CD113D">
        <w:rPr>
          <w:rFonts w:ascii="Helvetica" w:hAnsi="Helvetica"/>
          <w:sz w:val="23"/>
          <w:szCs w:val="23"/>
        </w:rPr>
        <w:t xml:space="preserve"> ГИИС ЭБ в 2021 году бюджетной отчетности главного администратора средств федерального бюджета  указанная информация не раскрывается.</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В разделе 3 «Источники финансирования дефицита бюджета» отражаются:</w:t>
      </w:r>
      <w:r w:rsidR="00CD113D" w:rsidRPr="00CD113D">
        <w:rPr>
          <w:rFonts w:ascii="Helvetica" w:hAnsi="Helvetica"/>
          <w:sz w:val="23"/>
          <w:szCs w:val="23"/>
        </w:rPr>
        <w:t>&lt;</w:t>
      </w:r>
      <w:proofErr w:type="spellStart"/>
      <w:proofErr w:type="gram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поступления источников финансирования дефицита бюджета при наличии прогнозных (плановых) показателей в структуре указанного прогноза (плана);</w:t>
      </w:r>
      <w:r w:rsidR="00CD113D" w:rsidRPr="00CD113D">
        <w:rPr>
          <w:rFonts w:ascii="Helvetica" w:hAnsi="Helvetica"/>
          <w:sz w:val="23"/>
          <w:szCs w:val="23"/>
        </w:rPr>
        <w:t>&lt;</w:t>
      </w:r>
      <w:proofErr w:type="spellStart"/>
      <w:proofErr w:type="gram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выбытия источников финансирования дефицита бюджета при наличии бюджетных ассигнований по выплатам источников финансирования дефицита бюджета, утвержденных бюджетной росписью на текущий финансовый год, с учетом изменений, в структуре соответствующих </w:t>
      </w:r>
      <w:proofErr w:type="gramStart"/>
      <w:r w:rsidRPr="00CD113D">
        <w:rPr>
          <w:rFonts w:ascii="Helvetica" w:hAnsi="Helvetica"/>
          <w:sz w:val="23"/>
          <w:szCs w:val="23"/>
        </w:rPr>
        <w:t>кодов.</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lastRenderedPageBreak/>
        <w:t>Детальное описание причин отклонений от плановых показателей в части доходов, расходов, источников финансирования дефицита бюджета при необходимости указывается в текстовой части Пояснительной записки (ф. 0503160</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2.3. При условии установления главным распорядителем бюджетных средств условия ведения дополнительной аналитики по соответствующим кодам КОСГУ, формирование сводной Справки по консолидируемым расчетам (ф. 0503125) главным администратором средств бюджета осуществляется по соответствующим кодам КОСГУ согласно Порядку применения </w:t>
      </w:r>
      <w:proofErr w:type="gramStart"/>
      <w:r w:rsidRPr="00CD113D">
        <w:rPr>
          <w:rFonts w:ascii="Helvetica" w:hAnsi="Helvetica"/>
          <w:sz w:val="23"/>
          <w:szCs w:val="23"/>
        </w:rPr>
        <w:t>КОСГУ.</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2.4. Информация в Сведениях по дебиторской и кредиторской задолженности (ф. 0503169) (далее - Сведения (ф. 0503169) в 2021 году учреждениями, главными администраторами средств федерального бюджета отражается с учетом </w:t>
      </w:r>
      <w:proofErr w:type="gramStart"/>
      <w:r w:rsidRPr="00CD113D">
        <w:rPr>
          <w:rFonts w:ascii="Helvetica" w:hAnsi="Helvetica"/>
          <w:sz w:val="23"/>
          <w:szCs w:val="23"/>
        </w:rPr>
        <w:t>следующего.</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Раздел 2 Сведений (ф. 0503169) заполняется по показателям просроченной дебиторской и кредиторской задолженности, которая составляет 10 млн. руб. и более по одному обязательству (правовому основанию). Показатели задолженности по одному контрагенту, но по разным обязательствам (правовым основаниям), отраженные в бюджетном учете, в целях раскрытий информации в разделе 2 Сведений (ф. 0503169) согласно критериям раскрытия информации в бюджетной отчетности, указанным в настоящем пункте, не суммируются и анализируются обособленно. Допустимо для пояснения причин образования просроченной дебиторской задолженности использовать код причины «03</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При этом в графах 3 и 4 Сведений (ф. 0503169) дата возникновения и дата исполнения по правовому основанию отражаются в формате (</w:t>
      </w:r>
      <w:proofErr w:type="spellStart"/>
      <w:proofErr w:type="gramStart"/>
      <w:r w:rsidRPr="00CD113D">
        <w:rPr>
          <w:rFonts w:ascii="Helvetica" w:hAnsi="Helvetica"/>
          <w:sz w:val="23"/>
          <w:szCs w:val="23"/>
        </w:rPr>
        <w:t>мм.гггг</w:t>
      </w:r>
      <w:proofErr w:type="spellEnd"/>
      <w:proofErr w:type="gramEnd"/>
      <w:r w:rsidRPr="00CD113D">
        <w:rPr>
          <w:rFonts w:ascii="Helvetica" w:hAnsi="Helvetica"/>
          <w:sz w:val="23"/>
          <w:szCs w:val="23"/>
        </w:rPr>
        <w:t>), в случае, если показатель просроченной задолженности сформировался по разным документам-основаниям, содержащим разные даты исполнения задолженности (обязательства), то в графе 4 Сведений (ф. 0503169) отражается дата последнего документа-основания в формате (</w:t>
      </w:r>
      <w:proofErr w:type="spellStart"/>
      <w:r w:rsidRPr="00CD113D">
        <w:rPr>
          <w:rFonts w:ascii="Helvetica" w:hAnsi="Helvetica"/>
          <w:sz w:val="23"/>
          <w:szCs w:val="23"/>
        </w:rPr>
        <w:t>мм.гггг</w:t>
      </w:r>
      <w:proofErr w:type="spellEnd"/>
      <w:r w:rsidRPr="00CD113D">
        <w:rPr>
          <w:rFonts w:ascii="Helvetica" w:hAnsi="Helvetica"/>
          <w:sz w:val="23"/>
          <w:szCs w:val="23"/>
        </w:rPr>
        <w:t>).</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Раздел 2 Сведений (ф. 0503169) в части доходов бюджета, администрируемых Федеральной налоговой службой, Федеральной таможенной службой формируется по показателям 500 млн. руб. и более. Кроме того, в текстовой части раздела 4 «Анализ показателей бухгалтерской отчетности субъекта бюджетной отчетности» Пояснительной записки (ф. 0503160) раскрываются причины увеличения просроченной дебиторской, кредиторской задолженности по сравнению с аналогичными показателями прошлого года и причины образования существенных остатков</w:t>
      </w:r>
      <w:r w:rsidRPr="00CD113D">
        <w:rPr>
          <w:rFonts w:ascii="Helvetica" w:hAnsi="Helvetica"/>
          <w:sz w:val="23"/>
          <w:szCs w:val="23"/>
        </w:rPr>
        <w:br/>
        <w:t>в сумме 1 млрд. руб. и более по соответствующему обязательству дебиторской (кредиторской) задолженности.</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2.5. В графе 1 раздела 1 «Счета в кредитных организациях» Сведений (ф. 0503178) показатели по счету 1 201 23 000 «Денежные средства учреждения кредитной организации в пути» и 1 210 03 000 «Расчеты с финансовым органом по наличным денежным средствам» отражаются в структуре «00000000000000000000</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Формирование Сведений (ф. 0503178) распорядителями (получателями) бюджетных средств осуществляется с указанием номеров лицевых счетов, открытых в органах Федерального казначейства (графа 1 раздела 2 «Счета в финансовом органе»), в структуре «ххххххххххх000000000</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В графе 1 раздела 2 «Счета в финансовом органе» сводных Сведений (ф. 0503178) отражаются номера лицевых счетов, открытых в органах Федерального казначейства в структуре «00000000000000000000</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2.6. В разделе 5 «Прочие вопросы деятельности субъекта бюджетной отчетности» Пояснительной записки (ф.0503160) раскрывается информация о правовом основании возникновения задолженности по исполнительным документам в части неисполненных судебных решений по КОСГУ 296 «Иные выплаты текущего характера физическим лицам», 297 «Иные выплаты текущего характера организациям», в случае неисполнения денежных обязательств свыше 10 млн. рублей в графе 8 по строке «Всего» Сведений (ф.  </w:t>
      </w:r>
      <w:proofErr w:type="gramStart"/>
      <w:r w:rsidRPr="00CD113D">
        <w:rPr>
          <w:rFonts w:ascii="Helvetica" w:hAnsi="Helvetica"/>
          <w:sz w:val="23"/>
          <w:szCs w:val="23"/>
        </w:rPr>
        <w:t>0503296).</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Style w:val="a4"/>
          <w:rFonts w:ascii="Helvetica" w:hAnsi="Helvetica"/>
          <w:sz w:val="23"/>
          <w:szCs w:val="23"/>
        </w:rPr>
        <w:lastRenderedPageBreak/>
        <w:t>II. Раскрытие информации в бухгалтерской отчетности бюджетных и автономных учреждений</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1. При отражении в Отчете (ф. 0503737) (сводном Отчете (ф. 0503737) показателей по некассовым операциям дополнительная информация (пояснения) раскрывается учреждением в разделе 3 «Анализ отчета об исполнении учреждением плана его деятельности» Пояснительной записки (ф. 0503760</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2. При формировании графы 4 Сведений об исполнении плана финансово-хозяйственной деятельности (ф. 0503766) федеральными бюджетными и автономными учреждениями указываются коды целей в соответствии с Перечнем кодов целевых субсидий, предоставляемых федеральным бюджетным учреждениям и федеральным автономным учреждениям в соответствии с абзацем вторым пункта 1 статьи 78.1 и статьей 78.2 Бюджетного кодекса Российской Федерации, приведенным в приложении № 2 к Порядку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утвержденному приказом Минфина России 13.12.2017 № 226н.</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В разделе 1 «Доходы учреждения» и в разделе 3 «Источники финансирования дефицита средств учреждения» Сведений (ф. 0503766) отражаются детализированные показатели, по которым исполнение плановых назначений по состоянию на 01.07.2021 и 01.10.2021 соответственно не превышали 45%, 70% от годовых показателей отчетного финансового года плана финансово-хозяйственной деятельности. При этом показатели графы 8 раздела 1 и 3 не заполняются, при необходимости пояснения указываются в Текстовой части Пояснительной записки (ф. 0503760</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3. Информация в Сведениях по дебиторской и кредиторской задолженности учреждения (ф. 0503769) (далее - Сведения (ф. 0503769) в 2021 году отражается с учетом положений пунк</w:t>
      </w:r>
      <w:r w:rsidR="00CD113D" w:rsidRPr="00CD113D">
        <w:rPr>
          <w:rFonts w:ascii="Helvetica" w:hAnsi="Helvetica"/>
          <w:sz w:val="23"/>
          <w:szCs w:val="23"/>
        </w:rPr>
        <w:t>та 2.4 настоящего письма, а так</w:t>
      </w:r>
      <w:r w:rsidRPr="00CD113D">
        <w:rPr>
          <w:rFonts w:ascii="Helvetica" w:hAnsi="Helvetica"/>
          <w:sz w:val="23"/>
          <w:szCs w:val="23"/>
        </w:rPr>
        <w:t xml:space="preserve">же следующих </w:t>
      </w:r>
      <w:proofErr w:type="gramStart"/>
      <w:r w:rsidRPr="00CD113D">
        <w:rPr>
          <w:rFonts w:ascii="Helvetica" w:hAnsi="Helvetica"/>
          <w:sz w:val="23"/>
          <w:szCs w:val="23"/>
        </w:rPr>
        <w:t>особенностей.</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При формировании номера счета в графе 1 раздела 1 Сведений (ф. 0503769) в 5 – 14 разрядах номера счета отражаются нули, 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если иное не предусмотрено требованиями целевого назначения активов, обязательств, иных объектов бухгалтерского учета.</w: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Раздел 2 «Сведения о просроченной задолженности» Сведений (ф. 0503769) заполняется в разрезе кодов счетов бюджетного учета и годов образования задолженности по показателям в размере 10 млн. рублей и более. При этом информация в разрезе дебиторов/кредиторов (показатели граф 5 – 8) при представлении сводных Сведений (ф. 0503769) в отчетности на 1 июля и 1 октября 2021 года не </w:t>
      </w:r>
      <w:proofErr w:type="gramStart"/>
      <w:r w:rsidRPr="00CD113D">
        <w:rPr>
          <w:rFonts w:ascii="Helvetica" w:hAnsi="Helvetica"/>
          <w:sz w:val="23"/>
          <w:szCs w:val="23"/>
        </w:rPr>
        <w:t>раскрывается.</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4. При наличии остатков на банковских счетах, открытых учреждению в кредитной организации, в отношении которой Банком России было принято решение об отзыве лицензии на осуществление банковских операций, дополнительная информация по наименованию кредитной организации и суммы денежных средств, отнесенной на счет 0 209 81 000 «Расчеты по недостачам денежных средств» при отзыве лицензии на осуществление банковских операций, раскрывается в текстовой части раздела 4 «Анализ показателей отчетности учреждения» Пояснительной записки (ф. 0503760). При этом указанная информация в Сведениях (ф. 0503779) не </w:t>
      </w:r>
      <w:proofErr w:type="gramStart"/>
      <w:r w:rsidRPr="00CD113D">
        <w:rPr>
          <w:rFonts w:ascii="Helvetica" w:hAnsi="Helvetica"/>
          <w:sz w:val="23"/>
          <w:szCs w:val="23"/>
        </w:rPr>
        <w:t>раскрывается.</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t xml:space="preserve">Отражение в разделе 1 «Счета в кредитной организации» Сведений (ф. 0503779) несуществующих номеров банковских счетов (например, «123456789») не </w:t>
      </w:r>
      <w:proofErr w:type="gramStart"/>
      <w:r w:rsidRPr="00CD113D">
        <w:rPr>
          <w:rFonts w:ascii="Helvetica" w:hAnsi="Helvetica"/>
          <w:sz w:val="23"/>
          <w:szCs w:val="23"/>
        </w:rPr>
        <w:t>допускается.</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Helvetica" w:hAnsi="Helvetica"/>
          <w:sz w:val="23"/>
          <w:szCs w:val="23"/>
        </w:rPr>
      </w:pPr>
      <w:r w:rsidRPr="00CD113D">
        <w:rPr>
          <w:rFonts w:ascii="Helvetica" w:hAnsi="Helvetica"/>
          <w:sz w:val="23"/>
          <w:szCs w:val="23"/>
        </w:rPr>
        <w:lastRenderedPageBreak/>
        <w:t>Показатель по счету 0 210 03 000 «Расчеты с финансовым органом по наличным денежным средствам» и 0 201 23 000 «Денежные средства учреждения в кредитной организации в пути» отражается в разделе 1 «Счета в кредитной организации» Сведений (ф. 0503779) в структуре «00000000000000000000</w:t>
      </w:r>
      <w:proofErr w:type="gramStart"/>
      <w:r w:rsidRPr="00CD113D">
        <w:rPr>
          <w:rFonts w:ascii="Helvetica" w:hAnsi="Helvetica"/>
          <w:sz w:val="23"/>
          <w:szCs w:val="23"/>
        </w:rPr>
        <w:t>».</w:t>
      </w:r>
      <w:r w:rsidR="00CD113D" w:rsidRPr="00CD113D">
        <w:rPr>
          <w:rFonts w:ascii="Helvetica" w:hAnsi="Helvetica"/>
          <w:sz w:val="23"/>
          <w:szCs w:val="23"/>
        </w:rPr>
        <w:t>&lt;</w:t>
      </w:r>
      <w:proofErr w:type="spellStart"/>
      <w:proofErr w:type="gramEnd"/>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shd w:val="clear" w:color="auto" w:fill="FFFFFF"/>
        <w:spacing w:before="240" w:after="240"/>
        <w:rPr>
          <w:rFonts w:ascii="Helvetica" w:hAnsi="Helvetica"/>
          <w:sz w:val="23"/>
          <w:szCs w:val="23"/>
        </w:rPr>
      </w:pPr>
      <w:r w:rsidRPr="00CD113D">
        <w:rPr>
          <w:rFonts w:ascii="Helvetica" w:hAnsi="Helvetica"/>
          <w:sz w:val="23"/>
          <w:szCs w:val="23"/>
        </w:rPr>
        <w:pict>
          <v:rect id="_x0000_i1025" style="width:0;height:.75pt" o:hralign="center" o:hrstd="t" o:hr="t" fillcolor="#a0a0a0" stroked="f"/>
        </w:pict>
      </w:r>
      <w:r w:rsidR="00CD113D" w:rsidRPr="00CD113D">
        <w:rPr>
          <w:rFonts w:ascii="Helvetica" w:hAnsi="Helvetica"/>
          <w:sz w:val="23"/>
          <w:szCs w:val="23"/>
        </w:rPr>
        <w: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&gt;&lt;</w:t>
      </w:r>
      <w:proofErr w:type="spellStart"/>
      <w:r w:rsidR="00CD113D" w:rsidRPr="00CD113D">
        <w:rPr>
          <w:rFonts w:ascii="Helvetica" w:hAnsi="Helvetica"/>
          <w:sz w:val="23"/>
          <w:szCs w:val="23"/>
        </w:rPr>
        <w:t>br</w:t>
      </w:r>
      <w:proofErr w:type="spellEnd"/>
      <w:r w:rsidR="00CD113D" w:rsidRPr="00CD113D">
        <w:rPr>
          <w:rFonts w:ascii="Helvetica" w:hAnsi="Helvetica"/>
          <w:sz w:val="23"/>
          <w:szCs w:val="23"/>
        </w:rPr>
        <w:t>&gt;</w:t>
      </w:r>
    </w:p>
    <w:p w:rsidR="00CD113D" w:rsidRPr="00CD113D" w:rsidRDefault="00494082" w:rsidP="00494082">
      <w:pPr>
        <w:pStyle w:val="a3"/>
        <w:shd w:val="clear" w:color="auto" w:fill="FFFFFF"/>
        <w:spacing w:before="0" w:beforeAutospacing="0" w:after="0" w:afterAutospacing="0"/>
        <w:rPr>
          <w:rFonts w:ascii="PT Sans" w:hAnsi="PT Sans"/>
          <w:sz w:val="17"/>
          <w:szCs w:val="17"/>
        </w:rPr>
      </w:pPr>
      <w:bookmarkStart w:id="2" w:name="_ftn1"/>
      <w:r w:rsidRPr="00CD113D">
        <w:rPr>
          <w:rFonts w:ascii="Helvetica" w:hAnsi="Helvetica"/>
          <w:sz w:val="23"/>
          <w:szCs w:val="23"/>
        </w:rPr>
        <w:t>[1]</w:t>
      </w:r>
      <w:bookmarkEnd w:id="2"/>
      <w:r w:rsidRPr="00CD113D">
        <w:rPr>
          <w:rFonts w:ascii="Helvetica" w:hAnsi="Helvetica"/>
          <w:sz w:val="23"/>
          <w:szCs w:val="23"/>
        </w:rPr>
        <w:t> Приложение № 3.1 к Порядку составления и ведения кассового плана исполнения федерального бюджета в текущем финансовом году, утвержденному приказом Минфина России от 09.12.2013 № 117н.</w:t>
      </w:r>
      <w:r w:rsidRPr="00CD113D">
        <w:rPr>
          <w:rFonts w:ascii="PT Sans" w:hAnsi="PT Sans"/>
          <w:sz w:val="17"/>
          <w:szCs w:val="17"/>
        </w:rPr>
        <w:t xml:space="preserve"> </w:t>
      </w:r>
      <w:r w:rsidR="00CD113D" w:rsidRPr="00CD113D">
        <w:rPr>
          <w:rFonts w:ascii="PT Sans" w:hAnsi="PT Sans"/>
          <w:sz w:val="17"/>
          <w:szCs w:val="17"/>
        </w:rPr>
        <w:t>&lt;</w:t>
      </w:r>
      <w:proofErr w:type="spellStart"/>
      <w:r w:rsidR="00CD113D" w:rsidRPr="00CD113D">
        <w:rPr>
          <w:rFonts w:ascii="PT Sans" w:hAnsi="PT Sans"/>
          <w:sz w:val="17"/>
          <w:szCs w:val="17"/>
        </w:rPr>
        <w:t>br</w:t>
      </w:r>
      <w:proofErr w:type="spellEnd"/>
      <w:r w:rsidR="00CD113D" w:rsidRPr="00CD113D">
        <w:rPr>
          <w:rFonts w:ascii="PT Sans" w:hAnsi="PT Sans"/>
          <w:sz w:val="17"/>
          <w:szCs w:val="17"/>
        </w:rPr>
        <w:t>&gt;&lt;</w:t>
      </w:r>
      <w:proofErr w:type="spellStart"/>
      <w:r w:rsidR="00CD113D" w:rsidRPr="00CD113D">
        <w:rPr>
          <w:rFonts w:ascii="PT Sans" w:hAnsi="PT Sans"/>
          <w:sz w:val="17"/>
          <w:szCs w:val="17"/>
        </w:rPr>
        <w:t>br</w:t>
      </w:r>
      <w:proofErr w:type="spellEnd"/>
      <w:r w:rsidR="00CD113D" w:rsidRPr="00CD113D">
        <w:rPr>
          <w:rFonts w:ascii="PT Sans" w:hAnsi="PT Sans"/>
          <w:sz w:val="17"/>
          <w:szCs w:val="17"/>
        </w:rPr>
        <w:t>&gt;</w:t>
      </w:r>
    </w:p>
    <w:p w:rsidR="00CD113D" w:rsidRPr="00CD113D" w:rsidRDefault="00CD113D">
      <w:r w:rsidRPr="00CD113D">
        <w:t>&lt;</w:t>
      </w:r>
      <w:proofErr w:type="spellStart"/>
      <w:r w:rsidRPr="00CD113D">
        <w:t>br</w:t>
      </w:r>
      <w:proofErr w:type="spellEnd"/>
      <w:r w:rsidRPr="00CD113D">
        <w:t>&gt;&lt;</w:t>
      </w:r>
      <w:proofErr w:type="spellStart"/>
      <w:r w:rsidRPr="00CD113D">
        <w:t>br</w:t>
      </w:r>
      <w:proofErr w:type="spellEnd"/>
      <w:r w:rsidRPr="00CD113D">
        <w:t>&gt;</w:t>
      </w:r>
    </w:p>
    <w:bookmarkEnd w:id="0"/>
    <w:p w:rsidR="00512828" w:rsidRPr="00CD113D" w:rsidRDefault="00512828"/>
    <w:sectPr w:rsidR="00512828" w:rsidRPr="00CD1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2DB0"/>
    <w:multiLevelType w:val="multilevel"/>
    <w:tmpl w:val="D80E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83D6C"/>
    <w:multiLevelType w:val="multilevel"/>
    <w:tmpl w:val="23D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F15E2"/>
    <w:multiLevelType w:val="multilevel"/>
    <w:tmpl w:val="63F2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6189C"/>
    <w:multiLevelType w:val="multilevel"/>
    <w:tmpl w:val="908A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82"/>
    <w:rsid w:val="00494082"/>
    <w:rsid w:val="00512828"/>
    <w:rsid w:val="00CD1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1939"/>
  <w15:chartTrackingRefBased/>
  <w15:docId w15:val="{7CF8E53D-F953-4B08-A958-52A16556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940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4940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08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494082"/>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494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4082"/>
    <w:rPr>
      <w:b/>
      <w:bCs/>
    </w:rPr>
  </w:style>
  <w:style w:type="character" w:styleId="a5">
    <w:name w:val="Hyperlink"/>
    <w:basedOn w:val="a0"/>
    <w:uiPriority w:val="99"/>
    <w:semiHidden/>
    <w:unhideWhenUsed/>
    <w:rsid w:val="00494082"/>
    <w:rPr>
      <w:color w:val="0000FF"/>
      <w:u w:val="single"/>
    </w:rPr>
  </w:style>
  <w:style w:type="paragraph" w:customStyle="1" w:styleId="logo-text">
    <w:name w:val="logo-text"/>
    <w:basedOn w:val="a"/>
    <w:rsid w:val="004940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655733">
      <w:bodyDiv w:val="1"/>
      <w:marLeft w:val="0"/>
      <w:marRight w:val="0"/>
      <w:marTop w:val="0"/>
      <w:marBottom w:val="0"/>
      <w:divBdr>
        <w:top w:val="none" w:sz="0" w:space="0" w:color="auto"/>
        <w:left w:val="none" w:sz="0" w:space="0" w:color="auto"/>
        <w:bottom w:val="none" w:sz="0" w:space="0" w:color="auto"/>
        <w:right w:val="none" w:sz="0" w:space="0" w:color="auto"/>
      </w:divBdr>
      <w:divsChild>
        <w:div w:id="224729095">
          <w:marLeft w:val="0"/>
          <w:marRight w:val="0"/>
          <w:marTop w:val="645"/>
          <w:marBottom w:val="0"/>
          <w:divBdr>
            <w:top w:val="none" w:sz="0" w:space="0" w:color="auto"/>
            <w:left w:val="none" w:sz="0" w:space="0" w:color="auto"/>
            <w:bottom w:val="none" w:sz="0" w:space="0" w:color="auto"/>
            <w:right w:val="none" w:sz="0" w:space="0" w:color="auto"/>
          </w:divBdr>
          <w:divsChild>
            <w:div w:id="2058623892">
              <w:marLeft w:val="0"/>
              <w:marRight w:val="0"/>
              <w:marTop w:val="100"/>
              <w:marBottom w:val="100"/>
              <w:divBdr>
                <w:top w:val="none" w:sz="0" w:space="0" w:color="auto"/>
                <w:left w:val="none" w:sz="0" w:space="0" w:color="auto"/>
                <w:bottom w:val="none" w:sz="0" w:space="0" w:color="auto"/>
                <w:right w:val="none" w:sz="0" w:space="0" w:color="auto"/>
              </w:divBdr>
              <w:divsChild>
                <w:div w:id="2103603081">
                  <w:marLeft w:val="0"/>
                  <w:marRight w:val="0"/>
                  <w:marTop w:val="0"/>
                  <w:marBottom w:val="0"/>
                  <w:divBdr>
                    <w:top w:val="none" w:sz="0" w:space="0" w:color="auto"/>
                    <w:left w:val="none" w:sz="0" w:space="0" w:color="auto"/>
                    <w:bottom w:val="none" w:sz="0" w:space="0" w:color="auto"/>
                    <w:right w:val="none" w:sz="0" w:space="0" w:color="auto"/>
                  </w:divBdr>
                  <w:divsChild>
                    <w:div w:id="1436053945">
                      <w:marLeft w:val="0"/>
                      <w:marRight w:val="0"/>
                      <w:marTop w:val="0"/>
                      <w:marBottom w:val="0"/>
                      <w:divBdr>
                        <w:top w:val="none" w:sz="0" w:space="0" w:color="auto"/>
                        <w:left w:val="none" w:sz="0" w:space="0" w:color="auto"/>
                        <w:bottom w:val="none" w:sz="0" w:space="0" w:color="auto"/>
                        <w:right w:val="none" w:sz="0" w:space="0" w:color="auto"/>
                      </w:divBdr>
                      <w:divsChild>
                        <w:div w:id="1370909239">
                          <w:marLeft w:val="0"/>
                          <w:marRight w:val="0"/>
                          <w:marTop w:val="0"/>
                          <w:marBottom w:val="0"/>
                          <w:divBdr>
                            <w:top w:val="none" w:sz="0" w:space="0" w:color="auto"/>
                            <w:left w:val="none" w:sz="0" w:space="0" w:color="auto"/>
                            <w:bottom w:val="none" w:sz="0" w:space="0" w:color="auto"/>
                            <w:right w:val="none" w:sz="0" w:space="0" w:color="auto"/>
                          </w:divBdr>
                          <w:divsChild>
                            <w:div w:id="1368094090">
                              <w:marLeft w:val="0"/>
                              <w:marRight w:val="0"/>
                              <w:marTop w:val="0"/>
                              <w:marBottom w:val="0"/>
                              <w:divBdr>
                                <w:top w:val="none" w:sz="0" w:space="0" w:color="auto"/>
                                <w:left w:val="none" w:sz="0" w:space="0" w:color="auto"/>
                                <w:bottom w:val="none" w:sz="0" w:space="0" w:color="auto"/>
                                <w:right w:val="none" w:sz="0" w:space="0" w:color="auto"/>
                              </w:divBdr>
                              <w:divsChild>
                                <w:div w:id="1950508999">
                                  <w:marLeft w:val="0"/>
                                  <w:marRight w:val="0"/>
                                  <w:marTop w:val="0"/>
                                  <w:marBottom w:val="0"/>
                                  <w:divBdr>
                                    <w:top w:val="none" w:sz="0" w:space="0" w:color="auto"/>
                                    <w:left w:val="none" w:sz="0" w:space="0" w:color="auto"/>
                                    <w:bottom w:val="none" w:sz="0" w:space="0" w:color="auto"/>
                                    <w:right w:val="none" w:sz="0" w:space="0" w:color="auto"/>
                                  </w:divBdr>
                                  <w:divsChild>
                                    <w:div w:id="1771850570">
                                      <w:marLeft w:val="0"/>
                                      <w:marRight w:val="0"/>
                                      <w:marTop w:val="0"/>
                                      <w:marBottom w:val="0"/>
                                      <w:divBdr>
                                        <w:top w:val="none" w:sz="0" w:space="0" w:color="auto"/>
                                        <w:left w:val="none" w:sz="0" w:space="0" w:color="auto"/>
                                        <w:bottom w:val="none" w:sz="0" w:space="0" w:color="auto"/>
                                        <w:right w:val="none" w:sz="0" w:space="0" w:color="auto"/>
                                      </w:divBdr>
                                      <w:divsChild>
                                        <w:div w:id="375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012246">
          <w:marLeft w:val="0"/>
          <w:marRight w:val="0"/>
          <w:marTop w:val="0"/>
          <w:marBottom w:val="0"/>
          <w:divBdr>
            <w:top w:val="none" w:sz="0" w:space="0" w:color="auto"/>
            <w:left w:val="none" w:sz="0" w:space="0" w:color="auto"/>
            <w:bottom w:val="none" w:sz="0" w:space="0" w:color="auto"/>
            <w:right w:val="none" w:sz="0" w:space="0" w:color="auto"/>
          </w:divBdr>
          <w:divsChild>
            <w:div w:id="917522756">
              <w:marLeft w:val="0"/>
              <w:marRight w:val="0"/>
              <w:marTop w:val="100"/>
              <w:marBottom w:val="100"/>
              <w:divBdr>
                <w:top w:val="none" w:sz="0" w:space="0" w:color="auto"/>
                <w:left w:val="none" w:sz="0" w:space="0" w:color="auto"/>
                <w:bottom w:val="none" w:sz="0" w:space="0" w:color="auto"/>
                <w:right w:val="none" w:sz="0" w:space="0" w:color="auto"/>
              </w:divBdr>
              <w:divsChild>
                <w:div w:id="1833906530">
                  <w:marLeft w:val="0"/>
                  <w:marRight w:val="660"/>
                  <w:marTop w:val="0"/>
                  <w:marBottom w:val="0"/>
                  <w:divBdr>
                    <w:top w:val="none" w:sz="0" w:space="0" w:color="auto"/>
                    <w:left w:val="none" w:sz="0" w:space="0" w:color="auto"/>
                    <w:bottom w:val="none" w:sz="0" w:space="0" w:color="auto"/>
                    <w:right w:val="none" w:sz="0" w:space="0" w:color="auto"/>
                  </w:divBdr>
                  <w:divsChild>
                    <w:div w:id="1649356452">
                      <w:marLeft w:val="405"/>
                      <w:marRight w:val="0"/>
                      <w:marTop w:val="75"/>
                      <w:marBottom w:val="0"/>
                      <w:divBdr>
                        <w:top w:val="none" w:sz="0" w:space="0" w:color="auto"/>
                        <w:left w:val="none" w:sz="0" w:space="0" w:color="auto"/>
                        <w:bottom w:val="none" w:sz="0" w:space="0" w:color="auto"/>
                        <w:right w:val="none" w:sz="0" w:space="0" w:color="auto"/>
                      </w:divBdr>
                    </w:div>
                  </w:divsChild>
                </w:div>
                <w:div w:id="1805268027">
                  <w:marLeft w:val="240"/>
                  <w:marRight w:val="240"/>
                  <w:marTop w:val="0"/>
                  <w:marBottom w:val="0"/>
                  <w:divBdr>
                    <w:top w:val="none" w:sz="0" w:space="0" w:color="auto"/>
                    <w:left w:val="none" w:sz="0" w:space="0" w:color="auto"/>
                    <w:bottom w:val="none" w:sz="0" w:space="0" w:color="auto"/>
                    <w:right w:val="none" w:sz="0" w:space="0" w:color="auto"/>
                  </w:divBdr>
                  <w:divsChild>
                    <w:div w:id="2051567686">
                      <w:marLeft w:val="0"/>
                      <w:marRight w:val="0"/>
                      <w:marTop w:val="0"/>
                      <w:marBottom w:val="390"/>
                      <w:divBdr>
                        <w:top w:val="none" w:sz="0" w:space="0" w:color="auto"/>
                        <w:left w:val="none" w:sz="0" w:space="0" w:color="auto"/>
                        <w:bottom w:val="none" w:sz="0" w:space="0" w:color="auto"/>
                        <w:right w:val="none" w:sz="0" w:space="0" w:color="auto"/>
                      </w:divBdr>
                    </w:div>
                    <w:div w:id="1746604126">
                      <w:marLeft w:val="0"/>
                      <w:marRight w:val="0"/>
                      <w:marTop w:val="0"/>
                      <w:marBottom w:val="390"/>
                      <w:divBdr>
                        <w:top w:val="none" w:sz="0" w:space="0" w:color="auto"/>
                        <w:left w:val="none" w:sz="0" w:space="0" w:color="auto"/>
                        <w:bottom w:val="none" w:sz="0" w:space="0" w:color="auto"/>
                        <w:right w:val="none" w:sz="0" w:space="0" w:color="auto"/>
                      </w:divBdr>
                    </w:div>
                  </w:divsChild>
                </w:div>
                <w:div w:id="899484784">
                  <w:marLeft w:val="240"/>
                  <w:marRight w:val="240"/>
                  <w:marTop w:val="0"/>
                  <w:marBottom w:val="0"/>
                  <w:divBdr>
                    <w:top w:val="none" w:sz="0" w:space="0" w:color="auto"/>
                    <w:left w:val="none" w:sz="0" w:space="0" w:color="auto"/>
                    <w:bottom w:val="none" w:sz="0" w:space="0" w:color="auto"/>
                    <w:right w:val="none" w:sz="0" w:space="0" w:color="auto"/>
                  </w:divBdr>
                  <w:divsChild>
                    <w:div w:id="2042700136">
                      <w:marLeft w:val="0"/>
                      <w:marRight w:val="0"/>
                      <w:marTop w:val="0"/>
                      <w:marBottom w:val="390"/>
                      <w:divBdr>
                        <w:top w:val="none" w:sz="0" w:space="0" w:color="auto"/>
                        <w:left w:val="none" w:sz="0" w:space="0" w:color="auto"/>
                        <w:bottom w:val="none" w:sz="0" w:space="0" w:color="auto"/>
                        <w:right w:val="none" w:sz="0" w:space="0" w:color="auto"/>
                      </w:divBdr>
                    </w:div>
                    <w:div w:id="105593097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 w:id="21173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3318</Words>
  <Characters>18913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2021-06-25T10:43:00Z</dcterms:created>
  <dcterms:modified xsi:type="dcterms:W3CDTF">2021-06-25T10:51:00Z</dcterms:modified>
</cp:coreProperties>
</file>