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FD" w:rsidRPr="00747DFD" w:rsidRDefault="00747DFD" w:rsidP="00747DFD">
      <w:pPr>
        <w:shd w:val="clear" w:color="auto" w:fill="FFFFFF"/>
        <w:spacing w:line="450" w:lineRule="atLeast"/>
        <w:jc w:val="center"/>
        <w:rPr>
          <w:rFonts w:ascii="Arial" w:eastAsia="Times New Roman" w:hAnsi="Arial" w:cs="Arial"/>
          <w:b/>
          <w:bCs/>
          <w:sz w:val="30"/>
          <w:szCs w:val="30"/>
          <w:lang w:eastAsia="ru-RU"/>
        </w:rPr>
      </w:pPr>
      <w:bookmarkStart w:id="0" w:name="_GoBack"/>
      <w:r w:rsidRPr="00747DFD">
        <w:rPr>
          <w:rFonts w:ascii="Arial" w:eastAsia="Times New Roman" w:hAnsi="Arial" w:cs="Arial"/>
          <w:b/>
          <w:bCs/>
          <w:sz w:val="30"/>
          <w:szCs w:val="30"/>
          <w:lang w:eastAsia="ru-RU"/>
        </w:rPr>
        <w:t>МИНИСТЕРСТВО ФИНАНСОВ РОССИЙСКОЙ ФЕДЕРАЦИИ</w:t>
      </w:r>
    </w:p>
    <w:p w:rsidR="00747DFD" w:rsidRPr="00747DFD" w:rsidRDefault="00747DFD" w:rsidP="00747DFD">
      <w:pPr>
        <w:shd w:val="clear" w:color="auto" w:fill="FFFFFF"/>
        <w:spacing w:after="0" w:line="450" w:lineRule="atLeast"/>
        <w:jc w:val="center"/>
        <w:rPr>
          <w:rFonts w:ascii="Arial" w:eastAsia="Times New Roman" w:hAnsi="Arial" w:cs="Arial"/>
          <w:b/>
          <w:bCs/>
          <w:sz w:val="30"/>
          <w:szCs w:val="30"/>
          <w:lang w:eastAsia="ru-RU"/>
        </w:rPr>
      </w:pPr>
      <w:r w:rsidRPr="00747DFD">
        <w:rPr>
          <w:rFonts w:ascii="Arial" w:eastAsia="Times New Roman" w:hAnsi="Arial" w:cs="Arial"/>
          <w:b/>
          <w:bCs/>
          <w:sz w:val="30"/>
          <w:szCs w:val="30"/>
          <w:lang w:eastAsia="ru-RU"/>
        </w:rPr>
        <w:t> </w:t>
      </w:r>
    </w:p>
    <w:p w:rsidR="00747DFD" w:rsidRPr="00747DFD" w:rsidRDefault="00747DFD" w:rsidP="00747DFD">
      <w:pPr>
        <w:shd w:val="clear" w:color="auto" w:fill="FFFFFF"/>
        <w:spacing w:after="0" w:line="450" w:lineRule="atLeast"/>
        <w:jc w:val="center"/>
        <w:rPr>
          <w:rFonts w:ascii="Arial" w:eastAsia="Times New Roman" w:hAnsi="Arial" w:cs="Arial"/>
          <w:b/>
          <w:bCs/>
          <w:sz w:val="30"/>
          <w:szCs w:val="30"/>
          <w:lang w:eastAsia="ru-RU"/>
        </w:rPr>
      </w:pPr>
      <w:r w:rsidRPr="00747DFD">
        <w:rPr>
          <w:rFonts w:ascii="Arial" w:eastAsia="Times New Roman" w:hAnsi="Arial" w:cs="Arial"/>
          <w:b/>
          <w:bCs/>
          <w:sz w:val="30"/>
          <w:szCs w:val="30"/>
          <w:lang w:eastAsia="ru-RU"/>
        </w:rPr>
        <w:t>ПИСЬМО</w:t>
      </w:r>
    </w:p>
    <w:p w:rsidR="00747DFD" w:rsidRPr="00747DFD" w:rsidRDefault="00747DFD" w:rsidP="00747DFD">
      <w:pPr>
        <w:shd w:val="clear" w:color="auto" w:fill="FFFFFF"/>
        <w:spacing w:after="0" w:line="450" w:lineRule="atLeast"/>
        <w:jc w:val="center"/>
        <w:rPr>
          <w:rFonts w:ascii="Arial" w:eastAsia="Times New Roman" w:hAnsi="Arial" w:cs="Arial"/>
          <w:b/>
          <w:bCs/>
          <w:sz w:val="30"/>
          <w:szCs w:val="30"/>
          <w:lang w:eastAsia="ru-RU"/>
        </w:rPr>
      </w:pPr>
      <w:r w:rsidRPr="00747DFD">
        <w:rPr>
          <w:rFonts w:ascii="Arial" w:eastAsia="Times New Roman" w:hAnsi="Arial" w:cs="Arial"/>
          <w:b/>
          <w:bCs/>
          <w:sz w:val="30"/>
          <w:szCs w:val="30"/>
          <w:lang w:eastAsia="ru-RU"/>
        </w:rPr>
        <w:t>от 25 мая 2021 г. № 24-06-08/40268</w:t>
      </w:r>
    </w:p>
    <w:p w:rsidR="00747DFD" w:rsidRPr="00747DFD" w:rsidRDefault="00747DFD" w:rsidP="00747DFD">
      <w:pPr>
        <w:shd w:val="clear" w:color="auto" w:fill="FFFFFF"/>
        <w:spacing w:after="0" w:line="288" w:lineRule="atLeast"/>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 </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поставки товара, бывшего в употреблении, сообщает следующее.</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Вместе с тем в рамках компетенции Департамента полагаем необходимым отметить следующее.</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 xml:space="preserve">В соответствии с принципом ответственности за результативность обеспечения государственных и муниципальных нужд, эффективности осуществления закупок, установленным статьей 12 Закона № 44-ФЗ, государственные органы, органы управления государственными внебюджетными фондами, муниципальные органы, казенные </w:t>
      </w:r>
      <w:r w:rsidRPr="00747DFD">
        <w:rPr>
          <w:rFonts w:ascii="Times New Roman" w:eastAsia="Times New Roman" w:hAnsi="Times New Roman" w:cs="Times New Roman"/>
          <w:sz w:val="30"/>
          <w:szCs w:val="30"/>
          <w:lang w:eastAsia="ru-RU"/>
        </w:rPr>
        <w:lastRenderedPageBreak/>
        <w:t>учреждения, иные юридические лица в случаях, установленных Законом № 44-ФЗ,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При этом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Закона № 44-ФЗ.</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Учитывая изложенное, заказчики при осуществлении закупок исходят из необходимости достижения заданных результатов обеспечения государственных и муниципальных нужд при выполнении своих непосредственных функций, при этом несут персональную ответственность за соблюдение требований, установленных законодательством в сфере контрактной системы.</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Положениями статьи 33 Закона № 44-ФЗ установлены правила описания объекта закупки, которыми должен руководствоваться заказчик.</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Так, при описании в документации о закупке объекта закупки заказчиками указываются функциональные, технические и качественные характеристики, эксплуатационные характеристики объекта закупки (при необходимости), а также могут включаться спецификации, планы, чертежи, эскизы, фотографии, результаты работы, тестирования.</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Вместе с тем пунктом 7 части 1 статьи 33 Закона № 44-ФЗ предусмотрено,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24"/>
          <w:szCs w:val="24"/>
          <w:lang w:eastAsia="ru-RU"/>
        </w:rPr>
      </w:pPr>
      <w:r w:rsidRPr="00747DFD">
        <w:rPr>
          <w:rFonts w:ascii="Times New Roman" w:eastAsia="Times New Roman" w:hAnsi="Times New Roman" w:cs="Times New Roman"/>
          <w:sz w:val="30"/>
          <w:szCs w:val="30"/>
          <w:lang w:eastAsia="ru-RU"/>
        </w:rPr>
        <w:fldChar w:fldCharType="begin"/>
      </w:r>
      <w:r w:rsidRPr="00747DFD">
        <w:rPr>
          <w:rFonts w:ascii="Times New Roman" w:eastAsia="Times New Roman" w:hAnsi="Times New Roman" w:cs="Times New Roman"/>
          <w:sz w:val="30"/>
          <w:szCs w:val="30"/>
          <w:lang w:eastAsia="ru-RU"/>
        </w:rPr>
        <w:instrText xml:space="preserve"> HYPERLINK "http://www.consultant.ru/cons/cgi/online.cgi?rnd=F7635961C802463BF18373DFF5BD1EEF&amp;req=query&amp;REFDOC=204507&amp;REFBASE=QUEST&amp;REFPAGE=0&amp;REFTYPE=CDLT_MAIN_BACKREFS&amp;ts=2244516254076401222&amp;mode=backrefs&amp;REFDST=100016" </w:instrText>
      </w:r>
      <w:r w:rsidRPr="00747DFD">
        <w:rPr>
          <w:rFonts w:ascii="Times New Roman" w:eastAsia="Times New Roman" w:hAnsi="Times New Roman" w:cs="Times New Roman"/>
          <w:sz w:val="30"/>
          <w:szCs w:val="30"/>
          <w:lang w:eastAsia="ru-RU"/>
        </w:rPr>
        <w:fldChar w:fldCharType="separate"/>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24"/>
          <w:szCs w:val="24"/>
          <w:lang w:eastAsia="ru-RU"/>
        </w:rPr>
      </w:pPr>
      <w:r w:rsidRPr="00747DFD">
        <w:rPr>
          <w:rFonts w:ascii="Times New Roman" w:eastAsia="Times New Roman" w:hAnsi="Times New Roman" w:cs="Times New Roman"/>
          <w:sz w:val="30"/>
          <w:szCs w:val="30"/>
          <w:lang w:eastAsia="ru-RU"/>
        </w:rPr>
        <w:fldChar w:fldCharType="end"/>
      </w:r>
      <w:r w:rsidRPr="00747DFD">
        <w:rPr>
          <w:rFonts w:ascii="Times New Roman" w:eastAsia="Times New Roman" w:hAnsi="Times New Roman" w:cs="Times New Roman"/>
          <w:sz w:val="30"/>
          <w:szCs w:val="30"/>
          <w:lang w:eastAsia="ru-RU"/>
        </w:rPr>
        <w:t>Таким образом, в случае, если заказчиком допускается закупка товара, бывшего в употреблении, указанное условие должно быть предусмотрено документацией о закупке.</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При этом необходимо отметить, что согласно положениям Закона № 44-ФЗ любой участник закупки вправе направить в письменной форме заказчику запрос о даче разъяснений положений документации о закупке (пункт 8 части 1 статьи 50, часть 3 статьи 65 Закона № 44-ФЗ).</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Дополнительно сообщаем, что в соответствии с частью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lastRenderedPageBreak/>
        <w:t>Согласно части 6 статьи 34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Учитывая изложенное, заказчик обязан в случае несоблюдения исполнения обязательств по контракту потребовать выплаты неустойки за неисполнение или ненадлежащее исполнение поставщиком обязательств, предусмотренных контрактом.</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Также отмечаем, что согласно части 8 статьи 95 Закона №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Частью 9 статьи 95 Закона № 44-ФЗ предусмотрено,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Порядок направления такого решения установлен частью 12 статьи 95 Закона № 44-ФЗ.</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Таким образом, Законом № 44-ФЗ предусмотрен механизм, обеспечивающий соблюдение интересов участников контрактной системы, в том числе заказчиков и поставщиков (подрядчиков, исполнителей), при расторжении контракта.</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Департамент обращает внимание, что в соответствии с частью 2 статьи 104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 xml:space="preserve">Согласно части 6 статьи 104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частью 3 указанной статьи, а также копию решения суда о расторжении контракта или в </w:t>
      </w:r>
      <w:r w:rsidRPr="00747DFD">
        <w:rPr>
          <w:rFonts w:ascii="Times New Roman" w:eastAsia="Times New Roman" w:hAnsi="Times New Roman" w:cs="Times New Roman"/>
          <w:sz w:val="30"/>
          <w:szCs w:val="30"/>
          <w:lang w:eastAsia="ru-RU"/>
        </w:rPr>
        <w:lastRenderedPageBreak/>
        <w:t>письменной форме обоснование причин одностороннего отказа заказчика от исполнения контракта.</w:t>
      </w:r>
    </w:p>
    <w:p w:rsidR="00747DFD" w:rsidRPr="00747DFD" w:rsidRDefault="00747DFD" w:rsidP="00747DFD">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 xml:space="preserve">С учетом изложенного вопрос о включении или </w:t>
      </w:r>
      <w:proofErr w:type="spellStart"/>
      <w:r w:rsidRPr="00747DFD">
        <w:rPr>
          <w:rFonts w:ascii="Times New Roman" w:eastAsia="Times New Roman" w:hAnsi="Times New Roman" w:cs="Times New Roman"/>
          <w:sz w:val="30"/>
          <w:szCs w:val="30"/>
          <w:lang w:eastAsia="ru-RU"/>
        </w:rPr>
        <w:t>невключении</w:t>
      </w:r>
      <w:proofErr w:type="spellEnd"/>
      <w:r w:rsidRPr="00747DFD">
        <w:rPr>
          <w:rFonts w:ascii="Times New Roman" w:eastAsia="Times New Roman" w:hAnsi="Times New Roman" w:cs="Times New Roman"/>
          <w:sz w:val="30"/>
          <w:szCs w:val="30"/>
          <w:lang w:eastAsia="ru-RU"/>
        </w:rPr>
        <w:t xml:space="preserve"> сведений о поставщике (подрядчике, исполнителе)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747DFD" w:rsidRPr="00747DFD" w:rsidRDefault="00747DFD" w:rsidP="00747DFD">
      <w:pPr>
        <w:shd w:val="clear" w:color="auto" w:fill="FFFFFF"/>
        <w:spacing w:after="0" w:line="288" w:lineRule="atLeast"/>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 </w:t>
      </w:r>
    </w:p>
    <w:p w:rsidR="00747DFD" w:rsidRPr="00747DFD" w:rsidRDefault="00747DFD" w:rsidP="00747DFD">
      <w:pPr>
        <w:shd w:val="clear" w:color="auto" w:fill="FFFFFF"/>
        <w:spacing w:after="0" w:line="288" w:lineRule="atLeast"/>
        <w:jc w:val="right"/>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Заместитель директора Департамента</w:t>
      </w:r>
    </w:p>
    <w:p w:rsidR="00747DFD" w:rsidRPr="00747DFD" w:rsidRDefault="00747DFD" w:rsidP="00747DFD">
      <w:pPr>
        <w:shd w:val="clear" w:color="auto" w:fill="FFFFFF"/>
        <w:spacing w:after="0" w:line="288" w:lineRule="atLeast"/>
        <w:jc w:val="right"/>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Д.А.ГОТОВЦЕВ</w:t>
      </w:r>
    </w:p>
    <w:p w:rsidR="00747DFD" w:rsidRPr="00747DFD" w:rsidRDefault="00747DFD" w:rsidP="00747DFD">
      <w:pPr>
        <w:shd w:val="clear" w:color="auto" w:fill="FFFFFF"/>
        <w:spacing w:after="0" w:line="288" w:lineRule="atLeast"/>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25.05.2021</w:t>
      </w:r>
    </w:p>
    <w:p w:rsidR="00747DFD" w:rsidRPr="00747DFD" w:rsidRDefault="00747DFD" w:rsidP="00747DFD">
      <w:pPr>
        <w:shd w:val="clear" w:color="auto" w:fill="FFFFFF"/>
        <w:spacing w:after="0" w:line="288" w:lineRule="atLeast"/>
        <w:jc w:val="both"/>
        <w:rPr>
          <w:rFonts w:ascii="Times New Roman" w:eastAsia="Times New Roman" w:hAnsi="Times New Roman" w:cs="Times New Roman"/>
          <w:sz w:val="30"/>
          <w:szCs w:val="30"/>
          <w:lang w:eastAsia="ru-RU"/>
        </w:rPr>
      </w:pPr>
      <w:r w:rsidRPr="00747DFD">
        <w:rPr>
          <w:rFonts w:ascii="Times New Roman" w:eastAsia="Times New Roman" w:hAnsi="Times New Roman" w:cs="Times New Roman"/>
          <w:sz w:val="30"/>
          <w:szCs w:val="30"/>
          <w:lang w:eastAsia="ru-RU"/>
        </w:rPr>
        <w:t> </w:t>
      </w:r>
    </w:p>
    <w:bookmarkEnd w:id="0"/>
    <w:p w:rsidR="00F07842" w:rsidRPr="00747DFD" w:rsidRDefault="00F07842"/>
    <w:sectPr w:rsidR="00F07842" w:rsidRPr="00747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FD"/>
    <w:rsid w:val="00747DFD"/>
    <w:rsid w:val="00F0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996DE-1999-4B77-B633-3E5DB6AF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1128</Words>
  <Characters>6433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2021-07-05T09:50:00Z</dcterms:created>
  <dcterms:modified xsi:type="dcterms:W3CDTF">2021-07-05T09:52:00Z</dcterms:modified>
</cp:coreProperties>
</file>