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FD" w:rsidRPr="003B55FD" w:rsidRDefault="003B55FD" w:rsidP="003B55F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1"/>
      <w:bookmarkEnd w:id="0"/>
      <w:r w:rsidRPr="003B55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B55FD" w:rsidRPr="003B55FD" w:rsidRDefault="003B55FD" w:rsidP="003B55F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55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B55FD" w:rsidRPr="003B55FD" w:rsidRDefault="003B55FD" w:rsidP="003B55F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2"/>
      <w:bookmarkEnd w:id="1"/>
      <w:r w:rsidRPr="003B55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</w:t>
      </w:r>
    </w:p>
    <w:p w:rsidR="003B55FD" w:rsidRPr="003B55FD" w:rsidRDefault="003B55FD" w:rsidP="003B55F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55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B55FD" w:rsidRPr="003B55FD" w:rsidRDefault="003B55FD" w:rsidP="003B55F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" w:name="dst100003"/>
      <w:bookmarkEnd w:id="2"/>
      <w:r w:rsidRPr="003B55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ПРИНЯТЫ МЕРЫ</w:t>
      </w:r>
    </w:p>
    <w:p w:rsidR="003B55FD" w:rsidRPr="003B55FD" w:rsidRDefault="003B55FD" w:rsidP="003B55F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55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ДОПОЛНИТЕЛЬНОЙ ПОДДЕРЖКЕ УЧАСТНИКОВ ГОСУДАРСТВЕННЫХ</w:t>
      </w:r>
    </w:p>
    <w:p w:rsidR="003B55FD" w:rsidRPr="003B55FD" w:rsidRDefault="003B55FD" w:rsidP="003B55FD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55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МУНИЦИПАЛЬНЫХ ЗАКУПОК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3" w:name="dst100004"/>
      <w:bookmarkEnd w:id="3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Федеральными законами об оптимизации государственных и муниципальных закупок (от 02.07.2021 </w:t>
      </w:r>
      <w:r>
        <w:rPr>
          <w:rFonts w:ascii="PT Sans" w:eastAsia="Times New Roman" w:hAnsi="PT Sans" w:cs="Times New Roman"/>
          <w:sz w:val="26"/>
          <w:szCs w:val="26"/>
          <w:lang w:eastAsia="ru-RU"/>
        </w:rPr>
        <w:t>№</w:t>
      </w:r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360-ФЗ), а также о закупках Фондом по сохранению и развитию Соловецкого архипелага</w:t>
      </w:r>
      <w:bookmarkStart w:id="4" w:name="_GoBack"/>
      <w:bookmarkEnd w:id="4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(от 01.07.2021 </w:t>
      </w:r>
      <w:r>
        <w:rPr>
          <w:rFonts w:ascii="PT Sans" w:eastAsia="Times New Roman" w:hAnsi="PT Sans" w:cs="Times New Roman"/>
          <w:sz w:val="26"/>
          <w:szCs w:val="26"/>
          <w:lang w:eastAsia="ru-RU"/>
        </w:rPr>
        <w:t>№</w:t>
      </w:r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277-ФЗ) предусматриваются дополнительные меры, направленные на поддержку участников закупок.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5" w:name="dst100005"/>
      <w:bookmarkEnd w:id="5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Во исполнение поручений Президента Российской Федерации по итогам Петербургского международного экономического форума: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6" w:name="dst100006"/>
      <w:bookmarkEnd w:id="6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повышается минимальный объем закупок, подлежащих осуществлению заказчиками у субъектов малого предпринимательства, социально ориентированных некоммерческих организаций, с 15 до 25 процентов совокупного стоимостного объема закупок;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7" w:name="dst100007"/>
      <w:bookmarkEnd w:id="7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осуществляется поэтапное снижение предельных сроков оплаты по контрактам, заключенным по результатам электронных процедур и закрытых электронных процедур (за исключением отдельных закупок).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8" w:name="dst100008"/>
      <w:bookmarkEnd w:id="8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Так, в 2022 году срок оплаты снизится с 30 до 15 рабочих дней, а если контракт заключен с субъектом малого предпринимательства или социально ориентированной некоммерческой организацией - с 15 до 10 рабочих дней. С 1 января 2023 г. предусмотрено дальнейшее сокращение указанных сроков до 10 и 7 рабочих дней соответственно.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9" w:name="dst100009"/>
      <w:bookmarkEnd w:id="9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Реализация указанных изменений сроков оплаты становится возможной в связи с переводом процедур, выполняемых на этапе исполнения контракта, в том числе при приемке товара, работы, услуги, в электронную форму, а также в связи с внедрением электронного контракта и электронного акта приемки.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10" w:name="dst100010"/>
      <w:bookmarkEnd w:id="10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В целях ускорения закупок и упрощения участия в них предусматривается увеличение совокупного годового объема закупок, проводимых с применением запроса котировок, с 10 до 20 процентов. При этом заказчики, совокупный годовой объем закупок которых за прошедший год не превысил 500 млн. рублей, получают право провести запросы котировок на сумму не более 100 млн. рублей и вне зависимости от вышеуказанного размера процента.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11" w:name="dst100011"/>
      <w:bookmarkEnd w:id="11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Федеральным законом от 02.07.2021 </w:t>
      </w:r>
      <w:r>
        <w:rPr>
          <w:rFonts w:ascii="PT Sans" w:eastAsia="Times New Roman" w:hAnsi="PT Sans" w:cs="Times New Roman"/>
          <w:sz w:val="26"/>
          <w:szCs w:val="26"/>
          <w:lang w:eastAsia="ru-RU"/>
        </w:rPr>
        <w:t>№</w:t>
      </w:r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360-ФЗ также вводится возможность предоставления независимых гарантий, выданных государственной корпорацией развития "ВЭБ.РФ", а также при осуществлении закупок, участниками которых могут быть только субъекты малого предпринимательства или социально ориентированные </w:t>
      </w:r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lastRenderedPageBreak/>
        <w:t>некоммерческие организации - региональными гарантийными организациями.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12" w:name="dst100012"/>
      <w:bookmarkEnd w:id="12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Кроме того, участники закупок, зарегистрированные в иных государствах-членах Евразийского экономического союза, получают возможность предоставления также независимых гарантий, выданных Евразийским банком развития.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13" w:name="dst100013"/>
      <w:bookmarkEnd w:id="13"/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Вводится дополнительный случай, предусматривающий изменение существенных условий контракта при необходимости изменения срока исполнения одного из его этапов и в рамках общего срока исполнения контракта, что обеспечит возможность перераспределения бюджетных средств между контрактами с учетом срока их фактического исполнения.</w:t>
      </w:r>
    </w:p>
    <w:p w:rsidR="003B55FD" w:rsidRPr="003B55FD" w:rsidRDefault="003B55FD" w:rsidP="003B55F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3B55F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523FA5" w:rsidRPr="003B55FD" w:rsidRDefault="00523FA5"/>
    <w:sectPr w:rsidR="00523FA5" w:rsidRPr="003B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FD"/>
    <w:rsid w:val="003B55FD"/>
    <w:rsid w:val="0052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FA66"/>
  <w15:chartTrackingRefBased/>
  <w15:docId w15:val="{DB03ECA6-9D85-4B94-9DC2-591051A9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B55FD"/>
  </w:style>
  <w:style w:type="character" w:customStyle="1" w:styleId="nobr">
    <w:name w:val="nobr"/>
    <w:basedOn w:val="a0"/>
    <w:rsid w:val="003B55FD"/>
  </w:style>
  <w:style w:type="character" w:styleId="a3">
    <w:name w:val="Hyperlink"/>
    <w:basedOn w:val="a0"/>
    <w:uiPriority w:val="99"/>
    <w:semiHidden/>
    <w:unhideWhenUsed/>
    <w:rsid w:val="003B5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7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02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08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1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9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57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2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68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02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94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8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19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2021-07-07T12:22:00Z</dcterms:created>
  <dcterms:modified xsi:type="dcterms:W3CDTF">2021-07-07T12:28:00Z</dcterms:modified>
</cp:coreProperties>
</file>