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06" w:rsidRDefault="00E25206" w:rsidP="00E2520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E25206" w:rsidRDefault="00E25206" w:rsidP="00E2520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25206" w:rsidRDefault="00E25206" w:rsidP="00E2520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E25206" w:rsidRDefault="00E25206" w:rsidP="00E2520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19 июня 2020 г. № 24-01-08/52980</w:t>
      </w:r>
    </w:p>
    <w:p w:rsidR="00E25206" w:rsidRDefault="00E25206" w:rsidP="00E25206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обращение от 20.05.2020, направленное посредством электронной почты, по вопросу о применении положений Федерального </w:t>
      </w:r>
      <w:r w:rsidRPr="00E25206">
        <w:rPr>
          <w:sz w:val="30"/>
          <w:szCs w:val="30"/>
        </w:rPr>
        <w:t>зак</w:t>
      </w:r>
      <w:bookmarkStart w:id="0" w:name="_GoBack"/>
      <w:bookmarkEnd w:id="0"/>
      <w:r w:rsidRPr="00E25206">
        <w:rPr>
          <w:sz w:val="30"/>
          <w:szCs w:val="30"/>
        </w:rPr>
        <w:t>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начальной (максимальной) цены контракта (далее - НМЦК) заказчиками, которые не являются участниками бюджетного процесса и до которых не доводятся лимиты бюджетных обязательств, сообщает следующее.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25206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E25206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установленной компетенции полагаем необходимым отметить следующее.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целях </w:t>
      </w:r>
      <w:r w:rsidRPr="00E25206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обоснованной признается закупка, осуществляемая в соответствии с положениями </w:t>
      </w:r>
      <w:r w:rsidRPr="00E25206">
        <w:rPr>
          <w:sz w:val="30"/>
          <w:szCs w:val="30"/>
        </w:rPr>
        <w:t>статей 19</w:t>
      </w:r>
      <w:r>
        <w:rPr>
          <w:rStyle w:val="blk"/>
          <w:color w:val="000000"/>
          <w:sz w:val="30"/>
          <w:szCs w:val="30"/>
        </w:rPr>
        <w:t> и </w:t>
      </w:r>
      <w:r w:rsidRPr="00E25206">
        <w:rPr>
          <w:sz w:val="30"/>
          <w:szCs w:val="30"/>
        </w:rPr>
        <w:t>22</w:t>
      </w:r>
      <w:r>
        <w:rPr>
          <w:rStyle w:val="blk"/>
          <w:color w:val="000000"/>
          <w:sz w:val="30"/>
          <w:szCs w:val="30"/>
        </w:rPr>
        <w:t> указанного Федерального закона.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НМЦК и в предусмотренных </w:t>
      </w:r>
      <w:r w:rsidRPr="00E25206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случаях цена контракта, заключаемого с единственным поставщиком (подрядчиком, исполнителем), определяются в соответствии с положениями </w:t>
      </w:r>
      <w:r w:rsidRPr="00E25206">
        <w:rPr>
          <w:sz w:val="30"/>
          <w:szCs w:val="30"/>
        </w:rPr>
        <w:t>статьи 22</w:t>
      </w:r>
      <w:r>
        <w:rPr>
          <w:rStyle w:val="blk"/>
          <w:color w:val="000000"/>
          <w:sz w:val="30"/>
          <w:szCs w:val="30"/>
        </w:rPr>
        <w:t> Закона № 44-ФЗ. При этом метод сопоставимых рыночных цен (анализа рынка) является приоритетным.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Согласно </w:t>
      </w:r>
      <w:r w:rsidRPr="00E25206">
        <w:rPr>
          <w:sz w:val="30"/>
          <w:szCs w:val="30"/>
        </w:rPr>
        <w:t>части 5 статьи 22</w:t>
      </w:r>
      <w:r>
        <w:rPr>
          <w:rStyle w:val="blk"/>
          <w:color w:val="000000"/>
          <w:sz w:val="30"/>
          <w:szCs w:val="30"/>
        </w:rPr>
        <w:t> 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 </w:t>
      </w:r>
      <w:r w:rsidRPr="00E25206">
        <w:rPr>
          <w:sz w:val="30"/>
          <w:szCs w:val="30"/>
        </w:rPr>
        <w:t>частью 18 указанной статьи</w:t>
      </w:r>
      <w:r>
        <w:rPr>
          <w:rStyle w:val="blk"/>
          <w:color w:val="000000"/>
          <w:sz w:val="30"/>
          <w:szCs w:val="30"/>
        </w:rPr>
        <w:t>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 в сфере закупок.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25206">
        <w:rPr>
          <w:sz w:val="30"/>
          <w:szCs w:val="30"/>
        </w:rPr>
        <w:t>частью 1 статьи 16</w:t>
      </w:r>
      <w:r>
        <w:rPr>
          <w:rStyle w:val="blk"/>
          <w:color w:val="000000"/>
          <w:sz w:val="30"/>
          <w:szCs w:val="30"/>
        </w:rPr>
        <w:t> Закона № 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E25206" w:rsidRDefault="00E25206" w:rsidP="00E25206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E25206" w:rsidRDefault="00E25206" w:rsidP="00E25206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E25206">
        <w:rPr>
          <w:sz w:val="28"/>
          <w:szCs w:val="28"/>
        </w:rPr>
        <w:t>пункт 3 части 2 статьи 16</w:t>
      </w:r>
      <w:r>
        <w:rPr>
          <w:rStyle w:val="blk"/>
          <w:color w:val="392C69"/>
          <w:sz w:val="28"/>
          <w:szCs w:val="28"/>
        </w:rPr>
        <w:t> Федерального закона от 05.04.2013 № 44-ФЗ, а не пункт 2.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E25206">
        <w:rPr>
          <w:sz w:val="30"/>
          <w:szCs w:val="30"/>
        </w:rPr>
        <w:t>пункту 2 части 2 статьи 16</w:t>
      </w:r>
      <w:r>
        <w:rPr>
          <w:rStyle w:val="blk"/>
          <w:color w:val="000000"/>
          <w:sz w:val="30"/>
          <w:szCs w:val="30"/>
        </w:rPr>
        <w:t> Закона № 44-ФЗ в планы-графики включается в том числе информация об объеме финансового обеспечения для осуществления закупок.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План-график формируется государственным, муниципальным учреждениями при планировании финансово-хозяйственной деятельности и утверждается в течение десяти рабочих дней после утверждения соответственно плана финансово-хозяйственной деятельности государственного, муниципального учреждений (</w:t>
      </w:r>
      <w:r w:rsidRPr="00E25206">
        <w:rPr>
          <w:sz w:val="30"/>
          <w:szCs w:val="30"/>
        </w:rPr>
        <w:t>часть 7 статьи 16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Объем финансового обеспечения для осуществления закупок включается в план-график.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заказчики осуществляют запланированные закупки, предусмотренные планом-графиком, и осуществляют оплату в пределах объема финансового обеспечения для осуществления закупок, указанного в плане-графике.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Обоснование НМЦК указывается в документации о закупке, а также в контракте при осуществлении закупки у единственного поставщика (подрядчика, исполнителя) в случаях, предусмотренных </w:t>
      </w:r>
      <w:r w:rsidRPr="00E25206">
        <w:rPr>
          <w:sz w:val="30"/>
          <w:szCs w:val="30"/>
        </w:rPr>
        <w:t>частью 4 статьи 93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E25206" w:rsidRDefault="00E25206" w:rsidP="00E2520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Таким образом, заказчики, которые не являются участниками бюджетного процесса и до которых не доводятся лимиты бюджетных обязательств, определяют НМЦК в пределах средств, запланированных на осуществление таких закупок в соответствии с планом-графиком.</w:t>
      </w:r>
    </w:p>
    <w:p w:rsidR="00E25206" w:rsidRDefault="00E25206" w:rsidP="00E25206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25206" w:rsidRDefault="00E25206" w:rsidP="00E25206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E25206" w:rsidRDefault="00E25206" w:rsidP="00E25206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E25206" w:rsidRDefault="00E25206" w:rsidP="00E25206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19.06.2020</w:t>
      </w:r>
    </w:p>
    <w:p w:rsidR="00E536AF" w:rsidRDefault="00E536AF"/>
    <w:sectPr w:rsidR="00E53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06"/>
    <w:rsid w:val="00E25206"/>
    <w:rsid w:val="00E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9088"/>
  <w15:chartTrackingRefBased/>
  <w15:docId w15:val="{CEBA0ED5-F6B6-49E2-AFFF-12087AE8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206"/>
    <w:rPr>
      <w:color w:val="0000FF"/>
      <w:u w:val="single"/>
    </w:rPr>
  </w:style>
  <w:style w:type="character" w:customStyle="1" w:styleId="blk">
    <w:name w:val="blk"/>
    <w:basedOn w:val="a0"/>
    <w:rsid w:val="00E25206"/>
  </w:style>
  <w:style w:type="character" w:customStyle="1" w:styleId="nobr">
    <w:name w:val="nobr"/>
    <w:basedOn w:val="a0"/>
    <w:rsid w:val="00E2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2021-07-14T06:37:00Z</dcterms:created>
  <dcterms:modified xsi:type="dcterms:W3CDTF">2021-07-14T06:39:00Z</dcterms:modified>
</cp:coreProperties>
</file>