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C2" w:rsidRDefault="000F6AC2" w:rsidP="000F6AC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F6AC2" w:rsidRDefault="000F6AC2" w:rsidP="000F6A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F6AC2" w:rsidRDefault="000F6AC2" w:rsidP="000F6A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F6AC2" w:rsidRDefault="000F6AC2" w:rsidP="000F6A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апреля 2020 г. № 24-03-06/35429</w:t>
      </w:r>
    </w:p>
    <w:p w:rsidR="000F6AC2" w:rsidRDefault="000F6AC2" w:rsidP="000F6AC2">
      <w:pPr>
        <w:jc w:val="both"/>
        <w:rPr>
          <w:rFonts w:ascii="Times New Roman" w:hAnsi="Times New Roman" w:cs="Times New Roman"/>
        </w:rPr>
      </w:pPr>
      <w:r>
        <w:t> </w:t>
      </w:r>
    </w:p>
    <w:p w:rsidR="000F6AC2" w:rsidRDefault="000F6AC2" w:rsidP="000F6AC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r w:rsidRPr="000F6AC2">
        <w:t>постановления</w:t>
      </w:r>
      <w:r>
        <w:t xml:space="preserve"> Правительства Российской Федерации от 16 ноября 2015 г. №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№ 1236) и </w:t>
      </w:r>
      <w:r w:rsidRPr="000F6AC2">
        <w:t>постановления</w:t>
      </w:r>
      <w:r>
        <w:t xml:space="preserve">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0F6AC2" w:rsidRDefault="000F6AC2" w:rsidP="000F6AC2">
      <w:pPr>
        <w:ind w:firstLine="540"/>
        <w:jc w:val="both"/>
      </w:pPr>
      <w:r>
        <w:t xml:space="preserve">В соответствии с </w:t>
      </w:r>
      <w:r w:rsidRPr="000F6AC2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6AC2" w:rsidRDefault="000F6AC2" w:rsidP="000F6AC2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F6AC2" w:rsidRDefault="000F6AC2" w:rsidP="000F6AC2">
      <w:pPr>
        <w:ind w:firstLine="540"/>
        <w:jc w:val="both"/>
      </w:pPr>
      <w:r>
        <w:t>Вместе с тем Минфин России считает возможным сообщить следующее.</w:t>
      </w:r>
    </w:p>
    <w:p w:rsidR="000F6AC2" w:rsidRDefault="000F6AC2" w:rsidP="000F6AC2">
      <w:pPr>
        <w:ind w:firstLine="540"/>
        <w:jc w:val="both"/>
      </w:pPr>
      <w:r>
        <w:t xml:space="preserve">В соответствии с </w:t>
      </w:r>
      <w:r w:rsidRPr="000F6AC2">
        <w:t>пунктом 3</w:t>
      </w:r>
      <w:r>
        <w:t xml:space="preserve"> Постановления № 878 установлено, что при осуществлении закупок радиоэлектронной продукции, включенной в </w:t>
      </w:r>
      <w:r w:rsidRPr="000F6AC2">
        <w:t>перечень</w:t>
      </w:r>
      <w:r>
        <w:t>, являющийся приложением к Постановлению № 878,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0F6AC2" w:rsidRDefault="000F6AC2" w:rsidP="000F6AC2">
      <w:pPr>
        <w:ind w:firstLine="540"/>
        <w:jc w:val="both"/>
      </w:pPr>
      <w:r>
        <w:t>содержат предложения о поставке радиоэлектронной продукции, включенной в реестр;</w:t>
      </w:r>
    </w:p>
    <w:p w:rsidR="000F6AC2" w:rsidRDefault="000F6AC2" w:rsidP="000F6AC2">
      <w:pPr>
        <w:ind w:firstLine="540"/>
        <w:jc w:val="both"/>
      </w:pPr>
      <w:r>
        <w:t xml:space="preserve"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 </w:t>
      </w:r>
      <w:r w:rsidRPr="000F6AC2">
        <w:t>статьей 9</w:t>
      </w:r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0F6AC2" w:rsidRDefault="000F6AC2" w:rsidP="000F6AC2">
      <w:pPr>
        <w:ind w:firstLine="540"/>
        <w:jc w:val="both"/>
      </w:pPr>
      <w:r>
        <w:t xml:space="preserve">Таким образом, при закупке радиоэлектронной продукции, включенной </w:t>
      </w:r>
      <w:r w:rsidRPr="000F6AC2">
        <w:t>перечень</w:t>
      </w:r>
      <w:r>
        <w:t>, являющийся приложением к Постановлению № 878, устанавливаются ограничения допуска товаров иностранного происхождения.</w:t>
      </w:r>
    </w:p>
    <w:p w:rsidR="000F6AC2" w:rsidRDefault="000F6AC2" w:rsidP="000F6AC2">
      <w:pPr>
        <w:ind w:firstLine="540"/>
        <w:jc w:val="both"/>
      </w:pPr>
      <w:r>
        <w:lastRenderedPageBreak/>
        <w:t xml:space="preserve">При этом согласно </w:t>
      </w:r>
      <w:r w:rsidRPr="000F6AC2">
        <w:t>пункту 2</w:t>
      </w:r>
      <w:r>
        <w:t xml:space="preserve"> Постановления № 1236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евразийского программного обеспечения),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нужд, за исключением следующих случаев:</w:t>
      </w:r>
    </w:p>
    <w:p w:rsidR="000F6AC2" w:rsidRDefault="000F6AC2" w:rsidP="000F6AC2">
      <w:pPr>
        <w:ind w:firstLine="540"/>
        <w:jc w:val="both"/>
      </w:pPr>
      <w:r>
        <w:t>а) в едином реестре российских программ для электронных вычислительных машин и баз данных (далее - реестр российского программного обеспечения) и реестре евразийского программного обеспечения отсутствуют сведения о программном обеспечении, соответствующем тому же классу программного обеспечения, что и программное обеспечение, планируемое к закупке;</w:t>
      </w:r>
    </w:p>
    <w:p w:rsidR="000F6AC2" w:rsidRDefault="000F6AC2" w:rsidP="000F6AC2">
      <w:pPr>
        <w:ind w:firstLine="540"/>
        <w:jc w:val="both"/>
      </w:pPr>
      <w:r>
        <w:t>б)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обеспечению.</w:t>
      </w:r>
    </w:p>
    <w:p w:rsidR="000F6AC2" w:rsidRDefault="000F6AC2" w:rsidP="000F6AC2">
      <w:pPr>
        <w:ind w:firstLine="540"/>
        <w:jc w:val="both"/>
      </w:pPr>
      <w:r>
        <w:t xml:space="preserve">В соответствии с </w:t>
      </w:r>
      <w:r w:rsidRPr="000F6AC2">
        <w:t>подпунктом "б" пункта 2(1)</w:t>
      </w:r>
      <w:r>
        <w:t xml:space="preserve"> Постановления № 1236 для целей применения </w:t>
      </w:r>
      <w:r w:rsidRPr="000F6AC2">
        <w:t>пункта 2</w:t>
      </w:r>
      <w:r>
        <w:t xml:space="preserve"> указанного постановления под программным обеспечением понимают программное обеспечение и (или) права на него вследствие поставки,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техники, на которых программное обеспечение подлежит установке в результате исполнения контракта.</w:t>
      </w:r>
    </w:p>
    <w:p w:rsidR="000F6AC2" w:rsidRDefault="000F6AC2" w:rsidP="000F6AC2">
      <w:pPr>
        <w:ind w:firstLine="540"/>
        <w:jc w:val="both"/>
      </w:pPr>
      <w:r>
        <w:t xml:space="preserve">Таким образом, в случае осуществления закупок, предметом которых является поставка компьютерного оборудования, запрет, установленный </w:t>
      </w:r>
      <w:r w:rsidRPr="000F6AC2">
        <w:t>Постановлением</w:t>
      </w:r>
      <w:r>
        <w:t xml:space="preserve"> № 1236, применяется в случае, если программное обеспечение подлежит установке в результате исполнения контракта.</w:t>
      </w:r>
    </w:p>
    <w:p w:rsidR="000F6AC2" w:rsidRDefault="000F6AC2" w:rsidP="000F6AC2">
      <w:pPr>
        <w:ind w:firstLine="540"/>
        <w:jc w:val="both"/>
      </w:pPr>
      <w:r>
        <w:t>В части разделения объектов на разные закупки сообщаем следующее.</w:t>
      </w:r>
    </w:p>
    <w:p w:rsidR="000F6AC2" w:rsidRDefault="000F6AC2" w:rsidP="000F6AC2">
      <w:pPr>
        <w:ind w:firstLine="540"/>
        <w:jc w:val="both"/>
      </w:pPr>
      <w:r>
        <w:t xml:space="preserve">Постановлением Правительства Российской Федерации от 08.02.2017 № 145 утверждены </w:t>
      </w:r>
      <w:r w:rsidRPr="000F6AC2">
        <w:t>Правила</w:t>
      </w:r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</w:t>
      </w:r>
      <w:r w:rsidRPr="000F6AC2">
        <w:t>Правила</w:t>
      </w:r>
      <w:r>
        <w:t xml:space="preserve"> использования каталога товаров, работ, услуг для обеспечения государственных и муниципальных нужд (далее - каталог, Правила формирования каталога, Правила использования каталога).</w:t>
      </w:r>
    </w:p>
    <w:p w:rsidR="000F6AC2" w:rsidRDefault="000F6AC2" w:rsidP="000F6AC2">
      <w:pPr>
        <w:ind w:firstLine="540"/>
        <w:jc w:val="both"/>
      </w:pPr>
      <w:r>
        <w:t xml:space="preserve">В соответствии с </w:t>
      </w:r>
      <w:r w:rsidRPr="000F6AC2">
        <w:t>подпунктом "б" пункта 10</w:t>
      </w:r>
      <w:r>
        <w:t xml:space="preserve"> Правил формирования каталога в позицию каталога включается наименование товара, работы, услуги.</w:t>
      </w:r>
    </w:p>
    <w:p w:rsidR="000F6AC2" w:rsidRDefault="000F6AC2" w:rsidP="000F6AC2">
      <w:pPr>
        <w:ind w:firstLine="540"/>
        <w:jc w:val="both"/>
      </w:pPr>
      <w:r w:rsidRPr="000F6AC2">
        <w:t>Пунктом 4</w:t>
      </w:r>
      <w:r>
        <w:t xml:space="preserve"> Правил использования каталога установлено, что заказчики обязаны применять информацию, включенную в позицию каталога в соответствии с </w:t>
      </w:r>
      <w:r w:rsidRPr="000F6AC2">
        <w:t>подпунктами "б"</w:t>
      </w:r>
      <w:r>
        <w:t xml:space="preserve"> - </w:t>
      </w:r>
      <w:r w:rsidRPr="000F6AC2">
        <w:t>"г"</w:t>
      </w:r>
      <w:r>
        <w:t xml:space="preserve"> и </w:t>
      </w:r>
      <w:r w:rsidRPr="000F6AC2">
        <w:t>"е"</w:t>
      </w:r>
      <w:r>
        <w:t xml:space="preserve"> - </w:t>
      </w:r>
      <w:r w:rsidRPr="000F6AC2">
        <w:t>"з" пункта 10</w:t>
      </w:r>
      <w:r>
        <w:t xml:space="preserve"> Правил формирования каталога,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позиции;</w:t>
      </w:r>
    </w:p>
    <w:p w:rsidR="000F6AC2" w:rsidRDefault="000F6AC2" w:rsidP="000F6AC2">
      <w:pPr>
        <w:ind w:firstLine="540"/>
        <w:jc w:val="both"/>
      </w:pPr>
      <w:r>
        <w:t>а) наименование товара, работы, услуги;</w:t>
      </w:r>
    </w:p>
    <w:p w:rsidR="000F6AC2" w:rsidRDefault="000F6AC2" w:rsidP="000F6AC2">
      <w:pPr>
        <w:ind w:firstLine="540"/>
        <w:jc w:val="both"/>
      </w:pPr>
      <w:r>
        <w:lastRenderedPageBreak/>
        <w:t>б) единицы измерения количества товара, объема выполняемой работы, оказываемой услуги (при наличии);</w:t>
      </w:r>
    </w:p>
    <w:p w:rsidR="000F6AC2" w:rsidRDefault="000F6AC2" w:rsidP="000F6AC2">
      <w:pPr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0F6AC2" w:rsidRDefault="000F6AC2" w:rsidP="000F6AC2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0F6AC2" w:rsidRDefault="000F6AC2" w:rsidP="000F6AC2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имеется в виду Федеральный </w:t>
      </w:r>
      <w:r w:rsidRPr="000F6AC2">
        <w:t>закон</w:t>
      </w:r>
      <w:r>
        <w:rPr>
          <w:color w:val="392C69"/>
        </w:rPr>
        <w:t xml:space="preserve"> от 05.04.2013 № 44-ФЗ.</w:t>
      </w:r>
    </w:p>
    <w:p w:rsidR="000F6AC2" w:rsidRDefault="000F6AC2" w:rsidP="000F6AC2">
      <w:pPr>
        <w:ind w:firstLine="540"/>
        <w:jc w:val="both"/>
      </w:pPr>
      <w:r>
        <w:t>Учитывая, что Закон № 44-ФЗ по общему правилу не содержит ограничений в отношении возможности включения в один объект закупки нескольких товаров, работ, услуг, содержание понятий "наименование объекта закупки" и "наименование товара, работы, услуги" не является тождественным.</w:t>
      </w:r>
    </w:p>
    <w:p w:rsidR="000F6AC2" w:rsidRDefault="000F6AC2" w:rsidP="000F6AC2">
      <w:pPr>
        <w:ind w:firstLine="540"/>
        <w:jc w:val="both"/>
      </w:pPr>
      <w:r>
        <w:t>На основании изложенного заказчик самостоятельно формирует наименование объекта закупки, при этом наименования закупаемых товаров, работ, услуг указываются в соответствии с информацией, включенной в позиции каталога.</w:t>
      </w:r>
    </w:p>
    <w:p w:rsidR="000F6AC2" w:rsidRDefault="000F6AC2" w:rsidP="000F6AC2">
      <w:pPr>
        <w:ind w:firstLine="540"/>
        <w:jc w:val="both"/>
      </w:pPr>
      <w:r>
        <w:t xml:space="preserve">Согласно </w:t>
      </w:r>
      <w:proofErr w:type="gramStart"/>
      <w:r>
        <w:t>обращению заявителя</w:t>
      </w:r>
      <w:proofErr w:type="gramEnd"/>
      <w:r>
        <w:t xml:space="preserve"> в целях осуществления закупки "На поставку автоматизированных рабочих мест" наименования закупаемых товаров сформированы в соответствии со сведениями позиций каталога "Компьютер персональный настольный (моноблок)" (код позиции каталога 26.20.15.000-00000035), "Клавиатура" (код позиции каталога 26.20.16.110-00000002), "Мышь компьютерная" (код позиции каталога 26.20.16.170-00000002).</w:t>
      </w:r>
    </w:p>
    <w:p w:rsidR="000F6AC2" w:rsidRDefault="000F6AC2" w:rsidP="000F6AC2">
      <w:pPr>
        <w:ind w:firstLine="540"/>
        <w:jc w:val="both"/>
      </w:pPr>
      <w:r>
        <w:t xml:space="preserve">Вместе с тем Департамент обращает внимание на недопустимость включения в один объект закупки товаров в случаях, приводящих к ограничению количества участников закупки, а также случаях, предусмотренных </w:t>
      </w:r>
      <w:r w:rsidRPr="000F6AC2">
        <w:t>статьей 14</w:t>
      </w:r>
      <w:r>
        <w:t xml:space="preserve"> Закона № 44-ФЗ, нормативными правовыми актами Правительства Российской Федерации, регулирующими порядок допуска товаров, происходящих из иностранных государств, для целей осуществления закупок, а также </w:t>
      </w:r>
      <w:r w:rsidRPr="000F6AC2">
        <w:t>Приказом</w:t>
      </w:r>
      <w:r>
        <w:t xml:space="preserve"> Минфина России от 04.06.2018 № 126н.</w:t>
      </w:r>
    </w:p>
    <w:p w:rsidR="000F6AC2" w:rsidRDefault="000F6AC2" w:rsidP="000F6AC2">
      <w:pPr>
        <w:jc w:val="both"/>
      </w:pPr>
      <w:r>
        <w:t> </w:t>
      </w:r>
    </w:p>
    <w:p w:rsidR="000F6AC2" w:rsidRDefault="000F6AC2" w:rsidP="000F6AC2">
      <w:pPr>
        <w:jc w:val="right"/>
      </w:pPr>
      <w:r>
        <w:t>Заместитель директора Департамента</w:t>
      </w:r>
    </w:p>
    <w:p w:rsidR="000F6AC2" w:rsidRDefault="000F6AC2" w:rsidP="000F6AC2">
      <w:pPr>
        <w:jc w:val="right"/>
      </w:pPr>
      <w:r>
        <w:t>Д.А.ГОТОВЦЕВ</w:t>
      </w:r>
    </w:p>
    <w:p w:rsidR="000F6AC2" w:rsidRDefault="000F6AC2" w:rsidP="000F6AC2">
      <w:r>
        <w:t>30.04.2020</w:t>
      </w:r>
    </w:p>
    <w:p w:rsidR="000F6AC2" w:rsidRDefault="000F6AC2" w:rsidP="000F6AC2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0F6AC2" w:rsidRDefault="000F6AC2" w:rsidP="000F6AC2"/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2"/>
    <w:rsid w:val="000F6AC2"/>
    <w:rsid w:val="001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62FB"/>
  <w15:chartTrackingRefBased/>
  <w15:docId w15:val="{EE5E9B62-6675-4456-830E-04E0633E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AC2"/>
    <w:rPr>
      <w:color w:val="0000FF"/>
      <w:u w:val="single"/>
    </w:rPr>
  </w:style>
  <w:style w:type="paragraph" w:customStyle="1" w:styleId="search-resultstext">
    <w:name w:val="search-results__text"/>
    <w:basedOn w:val="a"/>
    <w:rsid w:val="000F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F6AC2"/>
  </w:style>
  <w:style w:type="character" w:customStyle="1" w:styleId="b">
    <w:name w:val="b"/>
    <w:basedOn w:val="a0"/>
    <w:rsid w:val="000F6AC2"/>
  </w:style>
  <w:style w:type="paragraph" w:customStyle="1" w:styleId="search-resultslink-inherit">
    <w:name w:val="search-results__link-inherit"/>
    <w:basedOn w:val="a"/>
    <w:rsid w:val="000F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2021-07-29T07:26:00Z</dcterms:created>
  <dcterms:modified xsi:type="dcterms:W3CDTF">2021-07-29T07:30:00Z</dcterms:modified>
</cp:coreProperties>
</file>