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82" w:rsidRDefault="00C52182" w:rsidP="00C521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52182" w:rsidRDefault="00C52182" w:rsidP="00C521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52182" w:rsidRDefault="00C52182" w:rsidP="00C521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52182" w:rsidRDefault="00C52182" w:rsidP="00C521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февраля 2020 г. № 09-04-06/7918</w:t>
      </w:r>
    </w:p>
    <w:p w:rsidR="00C52182" w:rsidRDefault="00C52182" w:rsidP="00C52182">
      <w:pPr>
        <w:rPr>
          <w:rFonts w:ascii="Times New Roman" w:hAnsi="Times New Roman" w:cs="Times New Roman"/>
        </w:rPr>
      </w:pPr>
      <w:r>
        <w:t> </w:t>
      </w:r>
    </w:p>
    <w:p w:rsidR="00C52182" w:rsidRDefault="00C52182" w:rsidP="00C52182">
      <w:pPr>
        <w:jc w:val="both"/>
      </w:pPr>
      <w:bookmarkStart w:id="0" w:name="_GoBack"/>
      <w:r>
        <w:t>Министерство финансов Российской Федерации в соответствии с письмом от 1 декабря 2019 года рассмотрело предложения к проекту федерального закона "О внесении изменений в Бюджетный кодекс Российской Федерации и статью 7 Федерального закона "О внесении изменений в Бюджетный кодекс Российской Федерации и отдельные законодательные акты Российской Федерации" (далее соответственно - предложения, законопроект) и сообщает.</w:t>
      </w:r>
    </w:p>
    <w:p w:rsidR="00C52182" w:rsidRDefault="00C52182" w:rsidP="00C52182">
      <w:pPr>
        <w:jc w:val="both"/>
      </w:pPr>
      <w:r>
        <w:t>Предложениями предусмотрена возможность оплаты денежного обязательства, возникшего на основании государственного (муниципального) контракта, иного договора с физическими и юридическими лицами, индивидуальными предпринимателями, юридическому лицу, являющемуся приобретателем денежного обязательства на основании договора факторинга.</w:t>
      </w:r>
    </w:p>
    <w:p w:rsidR="00C52182" w:rsidRDefault="00C52182" w:rsidP="00C52182">
      <w:pPr>
        <w:jc w:val="both"/>
      </w:pPr>
      <w:r>
        <w:t>Государственный (муниципальный) контракт хотя и является формой двусторонней сделки, но права и обязанности получателей бюджетных средств при оплате такого договора регулируются бюджетным законодательством Российской Федерации и соответствующим ему законодательством о контрактной системе в сфере закупок товаров, работ, услуг для обеспечения государственных и муниципальных нужд, поскольку оплата государственного (муниципального) контракта является исполнением бюджета по расходам.</w:t>
      </w:r>
    </w:p>
    <w:p w:rsidR="00C52182" w:rsidRDefault="00C52182" w:rsidP="00C52182">
      <w:pPr>
        <w:jc w:val="both"/>
      </w:pPr>
      <w:r>
        <w:t>Нормами Бюджетного кодекса Российской Федерации (далее - Бюджетный кодекс) уступка требования (цессия) по оплате денежного обязательства, возникающего из государственного (муниципального) контракта, не предусмотрена.</w:t>
      </w:r>
    </w:p>
    <w:p w:rsidR="00C52182" w:rsidRDefault="00C52182" w:rsidP="00C52182">
      <w:pPr>
        <w:jc w:val="both"/>
      </w:pPr>
      <w:r>
        <w:t>В соответствии с пунктом 1 статьи 219 Бюджетного кодекса исполнение бюджета по расходам осуществляется в порядке, установленном соответствующим финансовым органом (органом управления государственным внебюджетным фондом), с соблюдением требований Бюджетного кодекса.</w:t>
      </w:r>
    </w:p>
    <w:p w:rsidR="00C52182" w:rsidRDefault="00C52182" w:rsidP="00C52182">
      <w:pPr>
        <w:jc w:val="both"/>
      </w:pPr>
      <w:r>
        <w:t>Положениями пункта 2 статьи 219 Бюджетного кодекса исполнение бюджетов по расходам предусматривает: принятие и учет бюджетных и денежных обязательств; подтверждение денежных обязательств; санкционирование оплаты денежных обязательств; подтверждение исполнения денежных обязательств.</w:t>
      </w:r>
    </w:p>
    <w:p w:rsidR="00C52182" w:rsidRDefault="00C52182" w:rsidP="00C52182">
      <w:pPr>
        <w:jc w:val="both"/>
      </w:pPr>
      <w:r>
        <w:t>Пунктом 3 статьи 219 Бюджетного кодекса предусмотрено, что 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 Обязательства, не принятые к учету в соответствии с нормами бюджетного законодательства Российской Федерации, не подлежат оплате (статья 219 Бюджетного кодекса).</w:t>
      </w:r>
    </w:p>
    <w:p w:rsidR="00C52182" w:rsidRDefault="00C52182" w:rsidP="00C52182">
      <w:pPr>
        <w:jc w:val="both"/>
      </w:pPr>
      <w:r>
        <w:t xml:space="preserve">Для постановки на учет бюджетных обязательств, денежных обязательств Федеральное казначейство, финансовые органы субъектов Российской Федерации (муниципальных образований), органы управления государственными внебюджетными фондами осуществляют в соответствии с установленным соответствующим финансовым органом (органом управления государственным внебюджетным фондом) порядком, предусмотренным пунктом 1 статьи 219 Бюджетного кодекса, в том числе контроль за </w:t>
      </w:r>
      <w:proofErr w:type="spellStart"/>
      <w:r>
        <w:t>непревышением</w:t>
      </w:r>
      <w:proofErr w:type="spellEnd"/>
      <w:r>
        <w:t xml:space="preserve"> бюджетных обязательств над </w:t>
      </w:r>
      <w:r>
        <w:lastRenderedPageBreak/>
        <w:t>соответствующими лимитами бюджетных обязательств или бюджетными ассигнованиями, доведенными до получателя бюджетных средств, и соответствием сведений о государственном (муниципальном)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государственного (муниципального) контракта, условиям государственного (муниципального) контракта (пункт 5 статьи 219 Бюджетного кодекса).</w:t>
      </w:r>
    </w:p>
    <w:p w:rsidR="00C52182" w:rsidRDefault="00C52182" w:rsidP="00C52182">
      <w:pPr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C52182" w:rsidRDefault="00C52182" w:rsidP="00C52182">
      <w:pPr>
        <w:jc w:val="both"/>
      </w:pPr>
      <w:r>
        <w:t>В тексте документа, видимо, допущена опечатка: имеется в виду абзац пятый пункта 5 статьи 219 БК РФ, а не абзац четвертый.</w:t>
      </w:r>
    </w:p>
    <w:p w:rsidR="00C52182" w:rsidRDefault="00C52182" w:rsidP="00C52182">
      <w:pPr>
        <w:jc w:val="both"/>
      </w:pPr>
      <w:r>
        <w:t>При этом оплата осуществляется при постановке на учет денежного обязательства, информация о котором должна соответствовать поставленному на учет соответствующему бюджетному обязательству (абзац четвертый пункта 5 статьи 219 Бюджетного кодекса).</w:t>
      </w:r>
    </w:p>
    <w:p w:rsidR="00C52182" w:rsidRDefault="00C52182" w:rsidP="00C52182">
      <w:pPr>
        <w:jc w:val="both"/>
      </w:pPr>
      <w:r>
        <w:t>Сформированная система учета и исполнения бюджетных обязательств соответствует принципу адресности и целевого использования бюджетных средств, определенному статьей 38 Бюджетного кодекса, направлена на безусловное выполнение расходных полномочий каждого публично-правового образования и взаимоувязана с нормами по контролю.</w:t>
      </w:r>
    </w:p>
    <w:p w:rsidR="00C52182" w:rsidRDefault="00C52182" w:rsidP="00C52182">
      <w:pPr>
        <w:jc w:val="both"/>
      </w:pPr>
      <w:r>
        <w:t>Так, начиная с 2015 года федеральным законом о федеральном бюджете предусматриваются положения о казначейском сопровождении операций в рамках исполнения государственных контрактов, позволяющие определить фактическую себестоимость закупаемых по государственным контрактам товаров, работ, услуг через раскрытие и контроль структуры цены контракта (абзац четвертый части 1 статьи 5 Федерального закона от 2 декабря 2019 года № 380-ФЗ "О федеральном бюджете на 2020 год и на плановый период 2021 и 2022 годов" (далее - Федеральный закон № 380-ФЗ)).</w:t>
      </w:r>
    </w:p>
    <w:p w:rsidR="00C52182" w:rsidRDefault="00C52182" w:rsidP="00C52182">
      <w:pPr>
        <w:jc w:val="both"/>
      </w:pPr>
      <w:r>
        <w:t>Таким образом, при заключении государственного контракта действия поставщика (подрядчика, исполнителя), связанные с использованием средств, предоставленных из бюджета, до подтверждения на соответствие условиям и целям, установленным при их предоставлении, регламентируются бюджетным законодательством Российской Федерации, а расчеты в рамках исполнения государственного контракта требуют открытия лицевого счета в органах Федерального казначейства всей кооперации соисполнителей (субподрядчиков) (часть 1 статьи 5 Федерального закона № 380-ФЗ).</w:t>
      </w:r>
    </w:p>
    <w:p w:rsidR="00C52182" w:rsidRDefault="00C52182" w:rsidP="00C52182">
      <w:pPr>
        <w:jc w:val="both"/>
      </w:pPr>
      <w:r>
        <w:t>Контроль за использованием предоставленных из бюджета средств направлен на своевременное предотвращение бюджетных рисков публично-правовых образований, связанных с неисполнением или ненадлежащим исполнением государственного контракта на любом его этапе (Правила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2020 год и на плановый период 2021 и 2022 годов", утвержденные постановлением Правительства Российской Федерации от 25 декабря 2019 года № 1819).</w:t>
      </w:r>
    </w:p>
    <w:p w:rsidR="00C52182" w:rsidRDefault="00C52182" w:rsidP="00C52182">
      <w:pPr>
        <w:jc w:val="both"/>
      </w:pPr>
      <w:r>
        <w:t>Замена лица в обязательстве по предоставлению денежных средств исключает из-под установленных процедур контроля и мониторинга операции по использованию предоставленных из бюджета средств.</w:t>
      </w:r>
    </w:p>
    <w:p w:rsidR="00C52182" w:rsidRDefault="00C52182" w:rsidP="00C52182">
      <w:pPr>
        <w:jc w:val="both"/>
      </w:pPr>
      <w:r>
        <w:t xml:space="preserve">Наряду с казначейским сопровождением законодательством Российской Федерации, регламентирующим закупки товаров, работ, услуг для обеспечения государственных и муниципальных нужд, предусмотрено банковское сопровождение контрактов, обеспечивающее контроль за целевым использованием средств, предоставленных на финансовое обеспечение </w:t>
      </w:r>
      <w:r>
        <w:lastRenderedPageBreak/>
        <w:t>контракта (статья 35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нужд").</w:t>
      </w:r>
    </w:p>
    <w:p w:rsidR="00C52182" w:rsidRDefault="00C52182" w:rsidP="00C52182">
      <w:pPr>
        <w:jc w:val="both"/>
      </w:pPr>
      <w:r>
        <w:t>При этом, учитывая, что механизмы казначейского и банковского сопровождения применяется как к головному исполнителю, так и к субподрядчикам (соисполнителям), применение уступки права требования по государственным (муниципальным) контрактам приведет к нарушению целостности проводимого контроля.</w:t>
      </w:r>
    </w:p>
    <w:p w:rsidR="00C52182" w:rsidRDefault="00C52182" w:rsidP="00C52182">
      <w:pPr>
        <w:jc w:val="both"/>
      </w:pPr>
      <w:r>
        <w:t>В этой связи в отличие от гражданского законодательства Российской Федерации, в том числе гражданского процессуального законодательства, законодательства о несостоятельности (банкротстве), бюджетное законодательство Российской Федерации не допускает возможность выплаты средств из бюджета лицу, не являющемуся стороной государственного (муниципального) контракта, иного договора, заключенного получателем бюджетных средств, поскольку отсутствуют нормы о перемене лица в силу уступки права требования.</w:t>
      </w:r>
    </w:p>
    <w:p w:rsidR="00C52182" w:rsidRDefault="00C52182" w:rsidP="00C52182">
      <w:pPr>
        <w:jc w:val="both"/>
      </w:pPr>
      <w:r>
        <w:t>Кроме того, в соответствии с пунктом 1 статьи 824 Гражданского кодекса Российской Федерации по договору финансирования под уступку денежного требования (договору факторинга) одна сторона (клиент) обязуется уступить другой стороне - финансовому агенту (фактору) денежные требования к третьему лицу (должнику) и оплатить оказанные услуги, а финансовый агент (фактор) обязуется совершить не менее двух следующих действий, связанных с денежными требованиями, являющимися предметом уступки:</w:t>
      </w:r>
    </w:p>
    <w:p w:rsidR="00C52182" w:rsidRDefault="00C52182" w:rsidP="00C52182">
      <w:pPr>
        <w:jc w:val="both"/>
      </w:pPr>
      <w:r>
        <w:t>1) передавать клиенту денежные средства в счет денежных требований, в том числе в виде займа или предварительного платежа (аванса);</w:t>
      </w:r>
    </w:p>
    <w:p w:rsidR="00C52182" w:rsidRDefault="00C52182" w:rsidP="00C52182">
      <w:pPr>
        <w:jc w:val="both"/>
      </w:pPr>
      <w:r>
        <w:t>2) осуществлять учет денежных требований клиента к третьим лицам (должникам);</w:t>
      </w:r>
    </w:p>
    <w:p w:rsidR="00C52182" w:rsidRDefault="00C52182" w:rsidP="00C52182">
      <w:pPr>
        <w:jc w:val="both"/>
      </w:pPr>
      <w:r>
        <w:t>3) осуществлять права по денежным требованиям клиента, в том числе предъявлять должникам денежные требования к оплате, получать платежи от должников и производить расчеты, связанные с денежными требованиями;</w:t>
      </w:r>
    </w:p>
    <w:p w:rsidR="00C52182" w:rsidRDefault="00C52182" w:rsidP="00C52182">
      <w:pPr>
        <w:jc w:val="both"/>
      </w:pPr>
      <w:r>
        <w:t>4) осуществлять права по договорам об обеспечении исполнения обязательств должников.</w:t>
      </w:r>
    </w:p>
    <w:p w:rsidR="00C52182" w:rsidRDefault="00C52182" w:rsidP="00C52182">
      <w:pPr>
        <w:jc w:val="both"/>
      </w:pPr>
      <w:r>
        <w:t>При этом в отношении получателей бюджетных средств не представляется возможным установить сферы, в которых будут применяться договоры факторинга.</w:t>
      </w:r>
    </w:p>
    <w:p w:rsidR="00C52182" w:rsidRDefault="00C52182" w:rsidP="00C52182">
      <w:pPr>
        <w:jc w:val="both"/>
      </w:pPr>
      <w:r>
        <w:t>Учитывая изложенное, предложения к законопроекту не могут быть поддержаны Минфином России. </w:t>
      </w:r>
    </w:p>
    <w:bookmarkEnd w:id="0"/>
    <w:p w:rsidR="00C52182" w:rsidRDefault="00C52182" w:rsidP="00C52182">
      <w:pPr>
        <w:jc w:val="right"/>
      </w:pPr>
      <w:r>
        <w:t>А.М.ЛАВРОВ</w:t>
      </w:r>
    </w:p>
    <w:p w:rsidR="00C52182" w:rsidRDefault="00C52182" w:rsidP="00C52182">
      <w:r>
        <w:t>05.02.2020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227"/>
    <w:multiLevelType w:val="multilevel"/>
    <w:tmpl w:val="D58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82"/>
    <w:rsid w:val="007B07FE"/>
    <w:rsid w:val="00C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85AB8-812E-4660-BBEA-AEBDE555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182"/>
    <w:rPr>
      <w:color w:val="0000FF"/>
      <w:u w:val="single"/>
    </w:rPr>
  </w:style>
  <w:style w:type="paragraph" w:customStyle="1" w:styleId="search-resultstext">
    <w:name w:val="search-results__text"/>
    <w:basedOn w:val="a"/>
    <w:rsid w:val="00C5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52182"/>
  </w:style>
  <w:style w:type="character" w:customStyle="1" w:styleId="b">
    <w:name w:val="b"/>
    <w:basedOn w:val="a0"/>
    <w:rsid w:val="00C52182"/>
  </w:style>
  <w:style w:type="paragraph" w:customStyle="1" w:styleId="search-resultslink-inherit">
    <w:name w:val="search-results__link-inherit"/>
    <w:basedOn w:val="a"/>
    <w:rsid w:val="00C5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5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2021-08-18T10:15:00Z</dcterms:created>
  <dcterms:modified xsi:type="dcterms:W3CDTF">2021-08-18T10:20:00Z</dcterms:modified>
</cp:coreProperties>
</file>