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51" w:rsidRDefault="00E42551" w:rsidP="00E4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42551" w:rsidRDefault="00E42551" w:rsidP="00E4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42551" w:rsidRDefault="00E42551" w:rsidP="00E4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42551" w:rsidRDefault="00E42551" w:rsidP="00E425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апреля 2020 г. № 24-01-08/27934</w:t>
      </w:r>
    </w:p>
    <w:p w:rsidR="00E42551" w:rsidRDefault="00E42551" w:rsidP="00E42551">
      <w:pPr>
        <w:rPr>
          <w:rFonts w:ascii="Times New Roman" w:hAnsi="Times New Roman" w:cs="Times New Roman"/>
        </w:rPr>
      </w:pPr>
      <w:r>
        <w:t> </w:t>
      </w:r>
    </w:p>
    <w:p w:rsidR="00E42551" w:rsidRDefault="00E42551" w:rsidP="00E42551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от 03.03.2020 в части вопроса необходимости ограничения прав подрядчиков по привлечению субподрядчиков при исполнении контрактов, а также по отдельным вопросам налогового законодательства, сообщает следующее.</w:t>
      </w:r>
    </w:p>
    <w:p w:rsidR="00E42551" w:rsidRDefault="00E42551" w:rsidP="00E42551">
      <w:pPr>
        <w:jc w:val="both"/>
      </w:pPr>
      <w:r>
        <w:t>Перечень вопросов, которые регулирует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определен частью 1 статьи 1 Закона № 44-ФЗ и не предусматривает регулирование отношений между поставщиком (подрядчиком, исполнителем) и соисполнителем (субподрядчиком).</w:t>
      </w:r>
    </w:p>
    <w:p w:rsidR="00E42551" w:rsidRDefault="00E42551" w:rsidP="00E42551">
      <w:pPr>
        <w:jc w:val="both"/>
      </w:pPr>
      <w:r>
        <w:t>При этом статьей 706 Гражданского кодекса Российской Федерации (далее - ГК РФ) установлено, что,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:rsidR="00E42551" w:rsidRDefault="00E42551" w:rsidP="00E42551">
      <w:pPr>
        <w:jc w:val="both"/>
      </w:pPr>
      <w:r>
        <w:t>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ГК РФ, а перед субподрядчиком - ответственность за неисполнение или ненадлежащее исполнение заказчиком обязательств по договору подряда.</w:t>
      </w:r>
    </w:p>
    <w:p w:rsidR="00E42551" w:rsidRDefault="00E42551" w:rsidP="00E42551">
      <w:pPr>
        <w:jc w:val="both"/>
      </w:pPr>
      <w:r>
        <w:t>Необходимо также учитывать, что законодательство Российской Федерации предусматривает право заказчиков устанавливать требование поставщикам (подрядчикам, исполнителям) о привлечении в установленном объеме соисполнителей (субподрядчиков) из числа субъектов малого и среднего предпринимательства.</w:t>
      </w:r>
    </w:p>
    <w:p w:rsidR="00E42551" w:rsidRDefault="00E42551" w:rsidP="00E42551">
      <w:pPr>
        <w:jc w:val="both"/>
      </w:pPr>
      <w:r>
        <w:t>Такая обязанность в отношении малого предпринимательства установлена статьей 30 Закона № 44-ФЗ. Данные меры направлены как на поддержку малого предпринимательства, так и на развитие конкуренции на отраслевых рынках.</w:t>
      </w:r>
    </w:p>
    <w:p w:rsidR="00E42551" w:rsidRDefault="00E42551" w:rsidP="00E42551">
      <w:pPr>
        <w:jc w:val="both"/>
      </w:pPr>
      <w:r>
        <w:t>Таким образом, в рамках действующего регулирования:</w:t>
      </w:r>
    </w:p>
    <w:p w:rsidR="00E42551" w:rsidRDefault="00E42551" w:rsidP="00E42551">
      <w:pPr>
        <w:jc w:val="both"/>
      </w:pPr>
      <w:r>
        <w:t>гражданским законодательством допускается возможность установления требования поставщику (подрядчику, исполнителю) о выполнении всей работы лично, но только если такая возможность следует из закона или существа договора;</w:t>
      </w:r>
    </w:p>
    <w:p w:rsidR="00E42551" w:rsidRDefault="00E42551" w:rsidP="00E42551">
      <w:pPr>
        <w:jc w:val="both"/>
      </w:pPr>
      <w:r>
        <w:t>поставщик (подрядчик, исполнитель) может привлечь при исполнении контракта на субподряд третьих лиц.</w:t>
      </w:r>
    </w:p>
    <w:p w:rsidR="00E42551" w:rsidRDefault="00E42551" w:rsidP="00E42551">
      <w:pPr>
        <w:jc w:val="both"/>
      </w:pPr>
      <w:r>
        <w:t>Законом № 44-ФЗ не урегулированы вопросы о праве заказчиков устанавливать требования к соисполнителям (субподрядчикам) или ограничения на привлечение субподрядчиков, за исключением закупки строительных работ (часть 2 статьи 110.2 Закона № 44-ФЗ).</w:t>
      </w:r>
    </w:p>
    <w:p w:rsidR="00E42551" w:rsidRDefault="00E42551" w:rsidP="00E42551">
      <w:pPr>
        <w:jc w:val="both"/>
      </w:pPr>
      <w:r>
        <w:t>Вместе с тем законодательством Российской Федерации предусмотрено право заказчиков устанавливать требование о привлечении на субподряд субъектов малого предпринимательства (в соответствии с Законом № 44-ФЗ).</w:t>
      </w:r>
    </w:p>
    <w:p w:rsidR="00E42551" w:rsidRDefault="00E42551" w:rsidP="00E42551">
      <w:pPr>
        <w:jc w:val="both"/>
      </w:pPr>
      <w:r>
        <w:lastRenderedPageBreak/>
        <w:t>Таким образом, установление требования к соисполнителям, субподрядчикам о самостоятельном выполнении подрядных работ выходит за рамки регулирования Закона № 44-ФЗ.</w:t>
      </w:r>
    </w:p>
    <w:p w:rsidR="00E42551" w:rsidRDefault="00E42551" w:rsidP="00E42551">
      <w:pPr>
        <w:jc w:val="both"/>
      </w:pPr>
      <w:r>
        <w:t>Вместе с тем с целью осуществления закупки качественных товаров, работ, услуг заказчики устанавливают требования к закупаемым товарам, работам, услугам при описании объекта закупки в соответствии со статьей 33 Закона № 44-ФЗ.</w:t>
      </w:r>
    </w:p>
    <w:p w:rsidR="00E42551" w:rsidRDefault="00E42551" w:rsidP="00E42551">
      <w:pPr>
        <w:jc w:val="both"/>
      </w:pPr>
      <w:r>
        <w:t>Так,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42551" w:rsidRDefault="00E42551" w:rsidP="00E42551">
      <w:pPr>
        <w:jc w:val="both"/>
      </w:pPr>
      <w:r>
        <w:t>Кроме того, при составлении описания объекта закупки могут использоваться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:rsidR="00E42551" w:rsidRDefault="00E42551" w:rsidP="00E42551">
      <w:pPr>
        <w:jc w:val="both"/>
      </w:pPr>
      <w:r>
        <w:t>Частью 1 статьи 94 Закона № 44-ФЗ заказчик осуществляет приемку поставленного товара, выполненной работы (ее результатов), оказанной услуги, предусмотренных контрактом, включая проведение в соответствии с Законом № 44-ФЗ экспертизы поставленного товара, результатов выполненной работы, оказанной услуги.</w:t>
      </w:r>
    </w:p>
    <w:p w:rsidR="00E42551" w:rsidRDefault="00E42551" w:rsidP="00E42551">
      <w:pPr>
        <w:jc w:val="both"/>
      </w:pPr>
      <w:r>
        <w:t>При этом, в случае если в ходе исполнения контракта установлено, что поставщик (подрядчик, исполнитель) и (или) поставляемый товар не соответствуют установленным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заказчик обязан принять решение об одностороннем отказе от исполнения контракта.</w:t>
      </w:r>
    </w:p>
    <w:p w:rsidR="00E42551" w:rsidRDefault="00E42551" w:rsidP="00E42551">
      <w:pPr>
        <w:jc w:val="both"/>
      </w:pPr>
      <w:r>
        <w:t>В части вопроса о введении прогрессивной шкалы налоговых ставок по налогу на доходы физических лиц отмечаем, что налог на доходы физических лиц является федеральным налогом, при этом поступления указанного налога подлежат зачислению в бюджеты субъектов Российской Федерации и муниципальных образований.</w:t>
      </w:r>
    </w:p>
    <w:p w:rsidR="00E42551" w:rsidRDefault="00E42551" w:rsidP="00E42551">
      <w:pPr>
        <w:jc w:val="both"/>
      </w:pPr>
      <w:r>
        <w:t>С 1 января 2001 года применяется ставка налога на доходы физических лиц в размере 13 процентов для большинства видов доходов. Для доходов, не связанных с работой по найму и выполнением налогоплательщиком работ (оказанием услуг), Налоговым кодексом Российской Федерации (далее - Кодекс) установлена повышенная ставка в размере 35 процентов.</w:t>
      </w:r>
    </w:p>
    <w:p w:rsidR="00E42551" w:rsidRDefault="00E42551" w:rsidP="00E42551">
      <w:pPr>
        <w:jc w:val="both"/>
      </w:pPr>
      <w:r>
        <w:t>При этом главой 23 "Налог на доходы физических лиц" Кодекса определены виды доходов, при получении которых у налогоплательщика не возникает обязанность по уплате налога. Кроме того, установлены стандартные, социальные, имущественные и профессиональные налоговые вычеты, которые направлены на существенное снижение налогового бремени налогоплательщиков.</w:t>
      </w:r>
    </w:p>
    <w:p w:rsidR="00E42551" w:rsidRDefault="00E42551" w:rsidP="00E42551">
      <w:pPr>
        <w:jc w:val="both"/>
      </w:pPr>
      <w:r>
        <w:t>Между тем единая ставка налогообложения в размере 13 процентов является фактором инвестиционной привлекательности Российской Федерации и значительно упрощает исчисление и уплату налога, его администрирование налоговыми органами.</w:t>
      </w:r>
    </w:p>
    <w:p w:rsidR="00E42551" w:rsidRDefault="00E42551" w:rsidP="00E42551">
      <w:pPr>
        <w:jc w:val="both"/>
      </w:pPr>
      <w:r>
        <w:t>Существующая на сегодняшний день система обложения налогом на доходы физических лиц позволяет говорить о сбалансированном подходе, учитывающем интересы как налогоплательщиков, так и бюджетной системы Российской Федерации.</w:t>
      </w:r>
    </w:p>
    <w:p w:rsidR="00E42551" w:rsidRDefault="00E42551" w:rsidP="00E42551">
      <w:pPr>
        <w:jc w:val="both"/>
      </w:pPr>
      <w:r>
        <w:lastRenderedPageBreak/>
        <w:t>В настоящее время наблюдается стабильный рост поступлений налога на доходы физических лиц. Так, поступления налога в бюджеты субъектов Российской Федерации и муниципальных образований в 2016 году составили 3 017 млрд рублей, в 2017 году - 3 251,1 млрд рублей, в 2018 году - 3 652,9 млрд рублей, в 2019 году - 3 955,2 млрд рублей.</w:t>
      </w:r>
    </w:p>
    <w:p w:rsidR="00E42551" w:rsidRDefault="00E42551" w:rsidP="00E42551">
      <w:pPr>
        <w:jc w:val="both"/>
      </w:pPr>
      <w:r>
        <w:t>Учитывая изложенное и принимая во внимание, что поступления налога на доходы физических лиц составляют существенную часть доходной базы субъектов Российской Федерации и муниципальных образований, кардинальных изменений в части порядка налогообложения доходов физических лиц не предусмотрено.</w:t>
      </w:r>
    </w:p>
    <w:p w:rsidR="00E42551" w:rsidRDefault="00E42551" w:rsidP="00E42551">
      <w:pPr>
        <w:jc w:val="both"/>
      </w:pPr>
      <w:r>
        <w:t>Основными направлениями бюджетной, налоговой и таможенно-тарифной политики Российской Федерации на 2020 год и на плановый период 2021 и 2022 годов введение прогрессивной шкалы налогообложения доходов физических лиц также не предусмотрено. </w:t>
      </w:r>
    </w:p>
    <w:bookmarkEnd w:id="0"/>
    <w:p w:rsidR="00E42551" w:rsidRDefault="00E42551" w:rsidP="00E42551">
      <w:pPr>
        <w:jc w:val="right"/>
      </w:pPr>
      <w:r>
        <w:t>Заместитель директора Департамента</w:t>
      </w:r>
    </w:p>
    <w:p w:rsidR="00E42551" w:rsidRDefault="00E42551" w:rsidP="00E42551">
      <w:pPr>
        <w:jc w:val="right"/>
      </w:pPr>
      <w:r>
        <w:t>Д.А.ГОТОВЦЕВ</w:t>
      </w:r>
    </w:p>
    <w:p w:rsidR="00E42551" w:rsidRDefault="00E42551" w:rsidP="00E42551">
      <w:r>
        <w:t>08.04.2020</w:t>
      </w:r>
    </w:p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51"/>
    <w:rsid w:val="00753886"/>
    <w:rsid w:val="00E4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B82D-86CD-4D0D-9E3F-44F4FF1A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551"/>
    <w:rPr>
      <w:color w:val="0000FF"/>
      <w:u w:val="single"/>
    </w:rPr>
  </w:style>
  <w:style w:type="paragraph" w:customStyle="1" w:styleId="search-resultstext">
    <w:name w:val="search-results__text"/>
    <w:basedOn w:val="a"/>
    <w:rsid w:val="00E4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42551"/>
  </w:style>
  <w:style w:type="character" w:customStyle="1" w:styleId="b">
    <w:name w:val="b"/>
    <w:basedOn w:val="a0"/>
    <w:rsid w:val="00E42551"/>
  </w:style>
  <w:style w:type="paragraph" w:customStyle="1" w:styleId="search-resultslink-inherit">
    <w:name w:val="search-results__link-inherit"/>
    <w:basedOn w:val="a"/>
    <w:rsid w:val="00E4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2021-09-14T09:57:00Z</dcterms:created>
  <dcterms:modified xsi:type="dcterms:W3CDTF">2021-09-14T10:01:00Z</dcterms:modified>
</cp:coreProperties>
</file>