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347" w:rsidRDefault="009D6347" w:rsidP="009D6347">
      <w:pPr>
        <w:jc w:val="center"/>
        <w:rPr>
          <w:rFonts w:ascii="Arial" w:hAnsi="Arial" w:cs="Arial"/>
          <w:b/>
          <w:bCs/>
        </w:rPr>
      </w:pPr>
      <w:r>
        <w:rPr>
          <w:rFonts w:ascii="Arial" w:hAnsi="Arial" w:cs="Arial"/>
          <w:b/>
          <w:bCs/>
        </w:rPr>
        <w:t>МИНИСТЕРСТВО ФИНАНСОВ РОССИЙСКОЙ ФЕДЕРАЦИИ</w:t>
      </w:r>
    </w:p>
    <w:p w:rsidR="009D6347" w:rsidRDefault="009D6347" w:rsidP="009D6347">
      <w:pPr>
        <w:jc w:val="center"/>
        <w:rPr>
          <w:rFonts w:ascii="Arial" w:hAnsi="Arial" w:cs="Arial"/>
          <w:b/>
          <w:bCs/>
        </w:rPr>
      </w:pPr>
      <w:r>
        <w:rPr>
          <w:rFonts w:ascii="Arial" w:hAnsi="Arial" w:cs="Arial"/>
          <w:b/>
          <w:bCs/>
        </w:rPr>
        <w:t> </w:t>
      </w:r>
    </w:p>
    <w:p w:rsidR="009D6347" w:rsidRDefault="009D6347" w:rsidP="009D6347">
      <w:pPr>
        <w:jc w:val="center"/>
        <w:rPr>
          <w:rFonts w:ascii="Arial" w:hAnsi="Arial" w:cs="Arial"/>
          <w:b/>
          <w:bCs/>
        </w:rPr>
      </w:pPr>
      <w:r>
        <w:rPr>
          <w:rFonts w:ascii="Arial" w:hAnsi="Arial" w:cs="Arial"/>
          <w:b/>
          <w:bCs/>
        </w:rPr>
        <w:t>ПИСЬМО</w:t>
      </w:r>
    </w:p>
    <w:p w:rsidR="009D6347" w:rsidRDefault="009D6347" w:rsidP="009D6347">
      <w:pPr>
        <w:jc w:val="center"/>
        <w:rPr>
          <w:rFonts w:ascii="Arial" w:hAnsi="Arial" w:cs="Arial"/>
          <w:b/>
          <w:bCs/>
        </w:rPr>
      </w:pPr>
      <w:r>
        <w:rPr>
          <w:rFonts w:ascii="Arial" w:hAnsi="Arial" w:cs="Arial"/>
          <w:b/>
          <w:bCs/>
        </w:rPr>
        <w:t>от 9 сентября 2021 г. № 02-06-10/73380</w:t>
      </w:r>
    </w:p>
    <w:p w:rsidR="009D6347" w:rsidRDefault="009D6347" w:rsidP="009D6347">
      <w:pPr>
        <w:jc w:val="both"/>
      </w:pPr>
      <w:r>
        <w:t> Департамент бюджетной методологии и финансовой отчетности в государственном секторе Министерства финансов Российской Федерации рассмотрел письмо государственного казенного учреждения здравоохранения от 04.08.2021 и сообщает.</w:t>
      </w:r>
    </w:p>
    <w:p w:rsidR="009D6347" w:rsidRDefault="009D6347" w:rsidP="009D6347">
      <w:pPr>
        <w:jc w:val="both"/>
      </w:pPr>
      <w:r>
        <w:t xml:space="preserve">В силу положений постановления Правительства Российской Федерации от 30.06.2004 № 329 "О Министерстве финансов Российской Федерации" в Министерстве финансов Российской Федерации, если законодательством не установлено иное, не рассматриваются по существу обращения организаций по разъяснению (толкованию норм, терминов и понятий) законодательства Российской Федерации и практики его применения, </w:t>
      </w:r>
      <w:proofErr w:type="gramStart"/>
      <w:r>
        <w:t>а также</w:t>
      </w:r>
      <w:proofErr w:type="gramEnd"/>
      <w:r>
        <w:t xml:space="preserve"> по оценке конкретных хозяйственных операций.</w:t>
      </w:r>
    </w:p>
    <w:p w:rsidR="009D6347" w:rsidRDefault="009D6347" w:rsidP="009D6347">
      <w:pPr>
        <w:jc w:val="both"/>
      </w:pPr>
      <w:r>
        <w:t>Статьей 44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установлены требования к обеспечению заявок при проведении конкурсов и аукционов.</w:t>
      </w:r>
    </w:p>
    <w:p w:rsidR="009D6347" w:rsidRDefault="009D6347" w:rsidP="009D6347">
      <w:pPr>
        <w:jc w:val="both"/>
      </w:pPr>
      <w:r>
        <w:t>Пунктом 8 статьи 44 Закона 44-ФЗ определены условия и сроки обязательного возврата на счет участника закупки денежных средств, внесенных в качестве обеспечения заявки на участие в конкурсе или аукционе.</w:t>
      </w:r>
    </w:p>
    <w:p w:rsidR="009D6347" w:rsidRDefault="009D6347" w:rsidP="009D6347">
      <w:pPr>
        <w:jc w:val="both"/>
      </w:pPr>
      <w:r>
        <w:t>Кроме того, исходя из информации, изложенной в письме, не представляется возможным однозначно определить, в связи с какими условиями не были возвращены денежные средства на счет участника закупки денежных средств, поступившие учреждению в качестве обеспечения заявки на участие в конкурсе, и, как следствие, возникновение кредиторской задолженности.</w:t>
      </w:r>
    </w:p>
    <w:p w:rsidR="009D6347" w:rsidRDefault="009D6347" w:rsidP="009D6347">
      <w:pPr>
        <w:jc w:val="both"/>
      </w:pPr>
      <w:r>
        <w:t>Вместе с тем сообщаем следующее.</w:t>
      </w:r>
    </w:p>
    <w:p w:rsidR="009D6347" w:rsidRDefault="009D6347" w:rsidP="009D6347">
      <w:pPr>
        <w:jc w:val="both"/>
      </w:pPr>
      <w:r>
        <w:t>Согласно положениям пункта 267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(далее - Инструкция № 157н), суммы денежных средств, подлежащих при наступлении определенных условий возврату или перечислению по назначению, относятся к денежным средствам во временном распоряжении.</w:t>
      </w:r>
    </w:p>
    <w:p w:rsidR="009D6347" w:rsidRDefault="009D6347" w:rsidP="009D6347">
      <w:pPr>
        <w:jc w:val="both"/>
      </w:pPr>
      <w:r>
        <w:t>Учитывая, что по своей экономической сущности средства, поступившие в качестве обеспечения заявки на участие в конкурсе или аукционе, не являются расходами (доходами) учреждения, операции по их перечислению (возврату) следует отражать как операции с денежными средствами.</w:t>
      </w:r>
    </w:p>
    <w:p w:rsidR="009D6347" w:rsidRDefault="009D6347" w:rsidP="009D6347">
      <w:pPr>
        <w:jc w:val="both"/>
      </w:pPr>
      <w:r>
        <w:t>В соответствии с пунктом 1 статьи 58 Гражданского кодекса Российской Федерации (далее - Гражданский кодекс) при слиянии юридических лиц права и обязанности каждого из них переходят к вновь возникшему юридическому лицу.</w:t>
      </w:r>
    </w:p>
    <w:p w:rsidR="009D6347" w:rsidRDefault="009D6347" w:rsidP="009D6347">
      <w:pPr>
        <w:jc w:val="both"/>
      </w:pPr>
      <w:r>
        <w:t>В силу пункта 3 статьи 49 Гражданского кодекса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9D6347" w:rsidRDefault="009D6347" w:rsidP="009D6347">
      <w:pPr>
        <w:jc w:val="both"/>
      </w:pPr>
      <w:r>
        <w:lastRenderedPageBreak/>
        <w:t xml:space="preserve">Основываясь на положениях гражданского законодательства Российской Федерации, суммы обеспечения исполнения государственного контракта, уплаченные участником закупки, могут признаваться доходом учреждения в случае наличия соответствующего судебного решения, принятого вследствие </w:t>
      </w:r>
      <w:proofErr w:type="spellStart"/>
      <w:r>
        <w:t>невостребованности</w:t>
      </w:r>
      <w:proofErr w:type="spellEnd"/>
      <w:r>
        <w:t xml:space="preserve"> данных средств в течение срока исковой давности.</w:t>
      </w:r>
    </w:p>
    <w:p w:rsidR="009D6347" w:rsidRDefault="009D6347" w:rsidP="009D6347">
      <w:pPr>
        <w:jc w:val="both"/>
      </w:pPr>
      <w:r>
        <w:t>Нормами статей 196, 197 Гражданского кодекса установлены общий и специальные сроки исковой давности с учетом положений статей 202 и 205 данного Кодекса.</w:t>
      </w:r>
    </w:p>
    <w:p w:rsidR="009D6347" w:rsidRDefault="00AE5BDF" w:rsidP="009D6347">
      <w:pPr>
        <w:jc w:val="both"/>
      </w:pPr>
      <w:r>
        <w:t>П</w:t>
      </w:r>
      <w:r w:rsidR="009D6347">
        <w:t>римечание.</w:t>
      </w:r>
    </w:p>
    <w:p w:rsidR="009D6347" w:rsidRDefault="009D6347" w:rsidP="009D6347">
      <w:pPr>
        <w:jc w:val="both"/>
      </w:pPr>
      <w:r>
        <w:t>В тексте документа, видимо, допущена опечатка: Приказ Минфина России от 01.12.2010, которым утверждена Инструкция, имеет номер 157н, а не 157.</w:t>
      </w:r>
    </w:p>
    <w:p w:rsidR="009D6347" w:rsidRDefault="009D6347" w:rsidP="009D6347">
      <w:pPr>
        <w:jc w:val="both"/>
      </w:pPr>
      <w:r>
        <w:t xml:space="preserve">В соответствии с положениями пункта 371 Инструкции № 157 операции по списанию невостребованных контрагентом средств обеспечения исполнения государственного контракта на </w:t>
      </w:r>
      <w:proofErr w:type="spellStart"/>
      <w:r>
        <w:t>забалансовом</w:t>
      </w:r>
      <w:proofErr w:type="spellEnd"/>
      <w:r>
        <w:t xml:space="preserve"> счете 20 "Задолженность, не востребованная кредиторами" не отражаются. Указанные средства продолжают учитываться на балансе до истечения срока исковой давности.</w:t>
      </w:r>
    </w:p>
    <w:p w:rsidR="009D6347" w:rsidRDefault="009D6347" w:rsidP="009D6347">
      <w:pPr>
        <w:jc w:val="both"/>
      </w:pPr>
      <w:r>
        <w:t>Согласно пункту 5 статьи 220.1 Бюджетного кодекса Российской Федерации случаи и порядок возврата или перечисления средств, поступающих во временное распоряжение получателей бюджетных средств, устанавливаются Правительством Российской Федерации.</w:t>
      </w:r>
    </w:p>
    <w:p w:rsidR="009D6347" w:rsidRDefault="009D6347" w:rsidP="009D6347">
      <w:pPr>
        <w:jc w:val="both"/>
      </w:pPr>
      <w:r>
        <w:t xml:space="preserve">В соответствии с пунктом 4 постановления Правительства Российской Федерации от 27.03.2020 № 356 "О случаях и порядке возврата или перечисления средств, поступающих во временное распоряжение получателей бюджетных средств" средства во временном распоряжении в случае </w:t>
      </w:r>
      <w:proofErr w:type="spellStart"/>
      <w:r>
        <w:t>невостребованности</w:t>
      </w:r>
      <w:proofErr w:type="spellEnd"/>
      <w:r>
        <w:t xml:space="preserve"> по истечении 3 лет со дня их поступления получателю бюджетных средств и невозможности их возврата плательщику в связи с непредставлением им заявления, содержащего реквизиты для осуществления возврата средств во временном распоряжении, подлежат перечислению в установленном бюджетным законодательством Российской Федерации порядке в доход соответствующего бюджета бюджетной системы Российской Федерации.</w:t>
      </w:r>
    </w:p>
    <w:p w:rsidR="009D6347" w:rsidRDefault="009D6347" w:rsidP="009D6347">
      <w:pPr>
        <w:jc w:val="both"/>
        <w:rPr>
          <w:rFonts w:ascii="Times New Roman" w:hAnsi="Times New Roman" w:cs="Times New Roman"/>
        </w:rPr>
      </w:pPr>
      <w:r>
        <w:t>В бюджетном учете указанные операции отражаются следующими бухгалтерскими записями.</w:t>
      </w:r>
    </w:p>
    <w:p w:rsidR="009D6347" w:rsidRDefault="009D6347" w:rsidP="009D6347">
      <w:r>
        <w:t> </w:t>
      </w:r>
    </w:p>
    <w:tbl>
      <w:tblPr>
        <w:tblW w:w="9020" w:type="dxa"/>
        <w:tblInd w:w="20" w:type="dxa"/>
        <w:tblCellMar>
          <w:left w:w="0" w:type="dxa"/>
          <w:right w:w="0" w:type="dxa"/>
        </w:tblCellMar>
        <w:tblLook w:val="04A0" w:firstRow="1" w:lastRow="0" w:firstColumn="1" w:lastColumn="0" w:noHBand="0" w:noVBand="1"/>
      </w:tblPr>
      <w:tblGrid>
        <w:gridCol w:w="5263"/>
        <w:gridCol w:w="803"/>
        <w:gridCol w:w="2954"/>
      </w:tblGrid>
      <w:tr w:rsidR="009D6347" w:rsidTr="009D6347">
        <w:tc>
          <w:tcPr>
            <w:tcW w:w="0" w:type="auto"/>
            <w:tcBorders>
              <w:top w:val="single" w:sz="8" w:space="0" w:color="000000"/>
              <w:left w:val="single" w:sz="8" w:space="0" w:color="000000"/>
              <w:bottom w:val="single" w:sz="8" w:space="0" w:color="000000"/>
              <w:right w:val="single" w:sz="8" w:space="0" w:color="000000"/>
            </w:tcBorders>
            <w:hideMark/>
          </w:tcPr>
          <w:p w:rsidR="009D6347" w:rsidRDefault="009D6347">
            <w:pPr>
              <w:jc w:val="center"/>
            </w:pPr>
            <w:r>
              <w:t>Содержание операции</w:t>
            </w:r>
          </w:p>
        </w:tc>
        <w:tc>
          <w:tcPr>
            <w:tcW w:w="0" w:type="auto"/>
            <w:tcBorders>
              <w:top w:val="single" w:sz="8" w:space="0" w:color="000000"/>
              <w:left w:val="single" w:sz="8" w:space="0" w:color="000000"/>
              <w:bottom w:val="single" w:sz="8" w:space="0" w:color="000000"/>
              <w:right w:val="single" w:sz="8" w:space="0" w:color="000000"/>
            </w:tcBorders>
            <w:hideMark/>
          </w:tcPr>
          <w:p w:rsidR="009D6347" w:rsidRDefault="009D6347">
            <w:pPr>
              <w:jc w:val="center"/>
            </w:pPr>
            <w:r>
              <w:t>Дебет</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D6347" w:rsidRDefault="009D6347">
            <w:pPr>
              <w:jc w:val="center"/>
            </w:pPr>
            <w:r>
              <w:t>Кредит</w:t>
            </w:r>
          </w:p>
        </w:tc>
      </w:tr>
      <w:tr w:rsidR="009D6347" w:rsidTr="009D6347">
        <w:tc>
          <w:tcPr>
            <w:tcW w:w="0" w:type="auto"/>
            <w:tcBorders>
              <w:top w:val="single" w:sz="8" w:space="0" w:color="000000"/>
              <w:left w:val="single" w:sz="8" w:space="0" w:color="000000"/>
              <w:bottom w:val="single" w:sz="8" w:space="0" w:color="000000"/>
              <w:right w:val="single" w:sz="8" w:space="0" w:color="000000"/>
            </w:tcBorders>
            <w:hideMark/>
          </w:tcPr>
          <w:p w:rsidR="009D6347" w:rsidRDefault="009D6347">
            <w:pPr>
              <w:jc w:val="center"/>
            </w:pPr>
            <w:r>
              <w:t>1</w:t>
            </w:r>
          </w:p>
        </w:tc>
        <w:tc>
          <w:tcPr>
            <w:tcW w:w="0" w:type="auto"/>
            <w:tcBorders>
              <w:top w:val="single" w:sz="8" w:space="0" w:color="000000"/>
              <w:left w:val="single" w:sz="8" w:space="0" w:color="000000"/>
              <w:bottom w:val="single" w:sz="8" w:space="0" w:color="000000"/>
              <w:right w:val="single" w:sz="8" w:space="0" w:color="000000"/>
            </w:tcBorders>
            <w:hideMark/>
          </w:tcPr>
          <w:p w:rsidR="009D6347" w:rsidRDefault="009D6347">
            <w:pPr>
              <w:jc w:val="center"/>
            </w:pPr>
            <w: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D6347" w:rsidRDefault="009D6347">
            <w:pPr>
              <w:jc w:val="center"/>
            </w:pPr>
            <w:r>
              <w:t>3</w:t>
            </w:r>
          </w:p>
        </w:tc>
      </w:tr>
      <w:tr w:rsidR="009D6347" w:rsidTr="009D6347">
        <w:tc>
          <w:tcPr>
            <w:tcW w:w="0" w:type="auto"/>
            <w:tcBorders>
              <w:top w:val="single" w:sz="8" w:space="0" w:color="000000"/>
              <w:left w:val="single" w:sz="8" w:space="0" w:color="000000"/>
              <w:bottom w:val="nil"/>
              <w:right w:val="single" w:sz="8" w:space="0" w:color="000000"/>
            </w:tcBorders>
            <w:vAlign w:val="center"/>
            <w:hideMark/>
          </w:tcPr>
          <w:p w:rsidR="009D6347" w:rsidRDefault="009D6347">
            <w:r>
              <w:t>Перевод задолженности по средствам во временном распоряжении перед кредитором в задолженность перед бюджетом</w:t>
            </w:r>
          </w:p>
        </w:tc>
        <w:tc>
          <w:tcPr>
            <w:tcW w:w="0" w:type="auto"/>
            <w:tcBorders>
              <w:top w:val="single" w:sz="8" w:space="0" w:color="000000"/>
              <w:left w:val="single" w:sz="8" w:space="0" w:color="000000"/>
              <w:bottom w:val="nil"/>
              <w:right w:val="single" w:sz="8" w:space="0" w:color="000000"/>
            </w:tcBorders>
            <w:vAlign w:val="center"/>
            <w:hideMark/>
          </w:tcPr>
          <w:p w:rsidR="009D6347" w:rsidRDefault="009D6347">
            <w:pPr>
              <w:jc w:val="center"/>
            </w:pPr>
            <w:r>
              <w:t>3 304 01 834</w:t>
            </w:r>
          </w:p>
        </w:tc>
        <w:tc>
          <w:tcPr>
            <w:tcW w:w="0" w:type="auto"/>
            <w:tcBorders>
              <w:top w:val="single" w:sz="8" w:space="0" w:color="000000"/>
              <w:left w:val="single" w:sz="8" w:space="0" w:color="000000"/>
              <w:bottom w:val="nil"/>
              <w:right w:val="single" w:sz="8" w:space="0" w:color="000000"/>
            </w:tcBorders>
            <w:vAlign w:val="center"/>
            <w:hideMark/>
          </w:tcPr>
          <w:p w:rsidR="009D6347" w:rsidRDefault="009D6347">
            <w:pPr>
              <w:jc w:val="center"/>
            </w:pPr>
            <w:r>
              <w:t>3 304 01 831</w:t>
            </w:r>
          </w:p>
        </w:tc>
      </w:tr>
      <w:tr w:rsidR="009D6347" w:rsidTr="009D6347">
        <w:tc>
          <w:tcPr>
            <w:tcW w:w="0" w:type="auto"/>
            <w:tcBorders>
              <w:top w:val="nil"/>
              <w:left w:val="single" w:sz="8" w:space="0" w:color="000000"/>
              <w:bottom w:val="nil"/>
              <w:right w:val="single" w:sz="8" w:space="0" w:color="000000"/>
            </w:tcBorders>
            <w:vAlign w:val="center"/>
            <w:hideMark/>
          </w:tcPr>
          <w:p w:rsidR="009D6347" w:rsidRDefault="009D6347">
            <w:r>
              <w:t>Одновременно</w:t>
            </w:r>
          </w:p>
        </w:tc>
        <w:tc>
          <w:tcPr>
            <w:tcW w:w="0" w:type="auto"/>
            <w:tcBorders>
              <w:top w:val="nil"/>
              <w:left w:val="single" w:sz="8" w:space="0" w:color="000000"/>
              <w:bottom w:val="nil"/>
              <w:right w:val="single" w:sz="8" w:space="0" w:color="000000"/>
            </w:tcBorders>
            <w:vAlign w:val="center"/>
            <w:hideMark/>
          </w:tcPr>
          <w:p w:rsidR="009D6347" w:rsidRDefault="009D6347">
            <w:r>
              <w:t> </w:t>
            </w:r>
          </w:p>
        </w:tc>
        <w:tc>
          <w:tcPr>
            <w:tcW w:w="0" w:type="auto"/>
            <w:tcBorders>
              <w:top w:val="nil"/>
              <w:left w:val="single" w:sz="8" w:space="0" w:color="000000"/>
              <w:bottom w:val="nil"/>
              <w:right w:val="single" w:sz="8" w:space="0" w:color="000000"/>
            </w:tcBorders>
            <w:vAlign w:val="center"/>
            <w:hideMark/>
          </w:tcPr>
          <w:p w:rsidR="009D6347" w:rsidRDefault="009D6347">
            <w:r>
              <w:t> </w:t>
            </w:r>
          </w:p>
        </w:tc>
      </w:tr>
      <w:tr w:rsidR="009D6347" w:rsidTr="009D6347">
        <w:tc>
          <w:tcPr>
            <w:tcW w:w="0" w:type="auto"/>
            <w:tcBorders>
              <w:top w:val="nil"/>
              <w:left w:val="single" w:sz="8" w:space="0" w:color="000000"/>
              <w:bottom w:val="single" w:sz="8" w:space="0" w:color="000000"/>
              <w:right w:val="single" w:sz="8" w:space="0" w:color="000000"/>
            </w:tcBorders>
            <w:vAlign w:val="center"/>
            <w:hideMark/>
          </w:tcPr>
          <w:p w:rsidR="009D6347" w:rsidRDefault="009D6347">
            <w:r>
              <w:t>Начисление доходов в сумме средств во временном распоряжении, подлежащих перечислению в бюджет</w:t>
            </w:r>
          </w:p>
        </w:tc>
        <w:tc>
          <w:tcPr>
            <w:tcW w:w="0" w:type="auto"/>
            <w:tcBorders>
              <w:top w:val="nil"/>
              <w:left w:val="single" w:sz="8" w:space="0" w:color="000000"/>
              <w:bottom w:val="single" w:sz="8" w:space="0" w:color="000000"/>
              <w:right w:val="single" w:sz="8" w:space="0" w:color="000000"/>
            </w:tcBorders>
            <w:vAlign w:val="center"/>
            <w:hideMark/>
          </w:tcPr>
          <w:p w:rsidR="009D6347" w:rsidRDefault="009D6347">
            <w:pPr>
              <w:jc w:val="center"/>
            </w:pPr>
            <w:r>
              <w:t>1 205 89 561</w:t>
            </w:r>
          </w:p>
        </w:tc>
        <w:tc>
          <w:tcPr>
            <w:tcW w:w="0" w:type="auto"/>
            <w:tcBorders>
              <w:top w:val="nil"/>
              <w:left w:val="single" w:sz="8" w:space="0" w:color="000000"/>
              <w:bottom w:val="single" w:sz="8" w:space="0" w:color="000000"/>
              <w:right w:val="single" w:sz="8" w:space="0" w:color="000000"/>
            </w:tcBorders>
            <w:vAlign w:val="center"/>
            <w:hideMark/>
          </w:tcPr>
          <w:p w:rsidR="009D6347" w:rsidRDefault="009D6347">
            <w:pPr>
              <w:jc w:val="center"/>
            </w:pPr>
            <w:r>
              <w:t>1 401 10 189</w:t>
            </w:r>
          </w:p>
        </w:tc>
      </w:tr>
      <w:tr w:rsidR="009D6347" w:rsidTr="009D6347">
        <w:tc>
          <w:tcPr>
            <w:tcW w:w="0" w:type="auto"/>
            <w:tcBorders>
              <w:top w:val="single" w:sz="8" w:space="0" w:color="000000"/>
              <w:left w:val="single" w:sz="8" w:space="0" w:color="000000"/>
              <w:bottom w:val="nil"/>
              <w:right w:val="single" w:sz="8" w:space="0" w:color="000000"/>
            </w:tcBorders>
            <w:vAlign w:val="center"/>
            <w:hideMark/>
          </w:tcPr>
          <w:p w:rsidR="009D6347" w:rsidRDefault="009D6347">
            <w:r>
              <w:t>Перечисление средств во временном распоряжении в доход бюджета</w:t>
            </w:r>
          </w:p>
        </w:tc>
        <w:tc>
          <w:tcPr>
            <w:tcW w:w="0" w:type="auto"/>
            <w:tcBorders>
              <w:top w:val="single" w:sz="8" w:space="0" w:color="000000"/>
              <w:left w:val="single" w:sz="8" w:space="0" w:color="000000"/>
              <w:bottom w:val="nil"/>
              <w:right w:val="single" w:sz="8" w:space="0" w:color="000000"/>
            </w:tcBorders>
            <w:vAlign w:val="center"/>
            <w:hideMark/>
          </w:tcPr>
          <w:p w:rsidR="009D6347" w:rsidRDefault="009D6347">
            <w:pPr>
              <w:jc w:val="center"/>
            </w:pPr>
            <w:r>
              <w:t>3 304 01 831</w:t>
            </w:r>
          </w:p>
        </w:tc>
        <w:tc>
          <w:tcPr>
            <w:tcW w:w="0" w:type="auto"/>
            <w:tcBorders>
              <w:top w:val="single" w:sz="8" w:space="0" w:color="000000"/>
              <w:left w:val="single" w:sz="8" w:space="0" w:color="000000"/>
              <w:bottom w:val="nil"/>
              <w:right w:val="single" w:sz="8" w:space="0" w:color="000000"/>
            </w:tcBorders>
            <w:vAlign w:val="center"/>
            <w:hideMark/>
          </w:tcPr>
          <w:p w:rsidR="009D6347" w:rsidRDefault="009D6347">
            <w:pPr>
              <w:jc w:val="center"/>
            </w:pPr>
            <w:bookmarkStart w:id="0" w:name="_GoBack"/>
            <w:bookmarkEnd w:id="0"/>
            <w:r>
              <w:t>3 201 11 610</w:t>
            </w:r>
          </w:p>
        </w:tc>
      </w:tr>
      <w:tr w:rsidR="009D6347" w:rsidTr="009D6347">
        <w:tc>
          <w:tcPr>
            <w:tcW w:w="0" w:type="auto"/>
            <w:tcBorders>
              <w:top w:val="nil"/>
              <w:left w:val="single" w:sz="8" w:space="0" w:color="000000"/>
              <w:bottom w:val="single" w:sz="8" w:space="0" w:color="000000"/>
              <w:right w:val="single" w:sz="8" w:space="0" w:color="000000"/>
            </w:tcBorders>
            <w:vAlign w:val="center"/>
            <w:hideMark/>
          </w:tcPr>
          <w:p w:rsidR="009D6347" w:rsidRDefault="009D6347">
            <w:r>
              <w:t>Одновременно</w:t>
            </w:r>
          </w:p>
        </w:tc>
        <w:tc>
          <w:tcPr>
            <w:tcW w:w="0" w:type="auto"/>
            <w:tcBorders>
              <w:top w:val="nil"/>
              <w:left w:val="single" w:sz="8" w:space="0" w:color="000000"/>
              <w:bottom w:val="single" w:sz="8" w:space="0" w:color="000000"/>
              <w:right w:val="single" w:sz="8" w:space="0" w:color="000000"/>
            </w:tcBorders>
            <w:vAlign w:val="center"/>
            <w:hideMark/>
          </w:tcPr>
          <w:p w:rsidR="009D6347" w:rsidRDefault="009D6347">
            <w:r>
              <w:t> </w:t>
            </w:r>
          </w:p>
        </w:tc>
        <w:tc>
          <w:tcPr>
            <w:tcW w:w="0" w:type="auto"/>
            <w:tcBorders>
              <w:top w:val="nil"/>
              <w:left w:val="single" w:sz="8" w:space="0" w:color="000000"/>
              <w:bottom w:val="single" w:sz="8" w:space="0" w:color="000000"/>
              <w:right w:val="single" w:sz="8" w:space="0" w:color="000000"/>
            </w:tcBorders>
            <w:vAlign w:val="center"/>
            <w:hideMark/>
          </w:tcPr>
          <w:p w:rsidR="009D6347" w:rsidRDefault="009D6347">
            <w:pPr>
              <w:jc w:val="center"/>
            </w:pPr>
            <w:r>
              <w:t xml:space="preserve">Увеличение </w:t>
            </w:r>
            <w:proofErr w:type="spellStart"/>
            <w:r>
              <w:t>забалансового</w:t>
            </w:r>
            <w:proofErr w:type="spellEnd"/>
            <w:r>
              <w:t xml:space="preserve"> </w:t>
            </w:r>
            <w:r w:rsidRPr="00AE5BDF">
              <w:rPr>
                <w:rStyle w:val="a3"/>
                <w:color w:val="auto"/>
                <w:u w:val="none"/>
              </w:rPr>
              <w:t>счета 18</w:t>
            </w:r>
            <w:r w:rsidRPr="00AE5BDF">
              <w:t xml:space="preserve"> (</w:t>
            </w:r>
            <w:proofErr w:type="spellStart"/>
            <w:r w:rsidRPr="00AE5BDF">
              <w:t>АнКИФ</w:t>
            </w:r>
            <w:proofErr w:type="spellEnd"/>
            <w:r w:rsidRPr="00AE5BDF">
              <w:t xml:space="preserve"> </w:t>
            </w:r>
            <w:r w:rsidRPr="00AE5BDF">
              <w:rPr>
                <w:rStyle w:val="a3"/>
                <w:color w:val="auto"/>
                <w:u w:val="none"/>
              </w:rPr>
              <w:t>610</w:t>
            </w:r>
            <w:r w:rsidRPr="00AE5BDF">
              <w:t xml:space="preserve"> КОСГУ </w:t>
            </w:r>
            <w:r w:rsidRPr="00AE5BDF">
              <w:rPr>
                <w:rStyle w:val="a3"/>
                <w:color w:val="auto"/>
                <w:u w:val="none"/>
              </w:rPr>
              <w:t>610</w:t>
            </w:r>
          </w:p>
        </w:tc>
      </w:tr>
      <w:tr w:rsidR="009D6347" w:rsidTr="009D6347">
        <w:tc>
          <w:tcPr>
            <w:tcW w:w="0" w:type="auto"/>
            <w:tcBorders>
              <w:top w:val="single" w:sz="8" w:space="0" w:color="000000"/>
              <w:left w:val="single" w:sz="8" w:space="0" w:color="000000"/>
              <w:bottom w:val="single" w:sz="8" w:space="0" w:color="000000"/>
              <w:right w:val="single" w:sz="8" w:space="0" w:color="000000"/>
            </w:tcBorders>
            <w:vAlign w:val="center"/>
            <w:hideMark/>
          </w:tcPr>
          <w:p w:rsidR="009D6347" w:rsidRDefault="009D6347">
            <w:r>
              <w:lastRenderedPageBreak/>
              <w:t>Поступление денежных средств в доход бюджета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D6347" w:rsidRDefault="009D6347">
            <w:pPr>
              <w:jc w:val="center"/>
            </w:pPr>
            <w:r>
              <w:t>1 210 02 189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D6347" w:rsidRDefault="009D6347">
            <w:pPr>
              <w:jc w:val="center"/>
            </w:pPr>
            <w:r>
              <w:t>1 205 89 661</w:t>
            </w:r>
          </w:p>
        </w:tc>
      </w:tr>
    </w:tbl>
    <w:p w:rsidR="009D6347" w:rsidRDefault="009D6347" w:rsidP="009D6347">
      <w:r>
        <w:t> </w:t>
      </w:r>
    </w:p>
    <w:p w:rsidR="009D6347" w:rsidRDefault="009D6347" w:rsidP="009D6347">
      <w:pPr>
        <w:jc w:val="right"/>
      </w:pPr>
      <w:r>
        <w:t>Заместитель директора Департамента</w:t>
      </w:r>
    </w:p>
    <w:p w:rsidR="009D6347" w:rsidRDefault="009D6347" w:rsidP="009D6347">
      <w:pPr>
        <w:jc w:val="right"/>
      </w:pPr>
      <w:r>
        <w:t>бюджетной методологии</w:t>
      </w:r>
    </w:p>
    <w:p w:rsidR="009D6347" w:rsidRDefault="009D6347" w:rsidP="009D6347">
      <w:pPr>
        <w:jc w:val="right"/>
      </w:pPr>
      <w:r>
        <w:t>и финансовой отчетности</w:t>
      </w:r>
    </w:p>
    <w:p w:rsidR="009D6347" w:rsidRDefault="009D6347" w:rsidP="009D6347">
      <w:pPr>
        <w:jc w:val="right"/>
      </w:pPr>
      <w:r>
        <w:t>в государственном секторе</w:t>
      </w:r>
    </w:p>
    <w:p w:rsidR="009D6347" w:rsidRDefault="009D6347" w:rsidP="009D6347">
      <w:pPr>
        <w:jc w:val="right"/>
      </w:pPr>
      <w:r>
        <w:t>С.В.СИВЕЦ</w:t>
      </w:r>
    </w:p>
    <w:p w:rsidR="009D6347" w:rsidRDefault="009D6347" w:rsidP="009D6347">
      <w:r>
        <w:t>09.09.2021</w:t>
      </w:r>
    </w:p>
    <w:p w:rsidR="002F7EAC" w:rsidRDefault="002F7EAC"/>
    <w:sectPr w:rsidR="002F7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47"/>
    <w:rsid w:val="002F7EAC"/>
    <w:rsid w:val="009D6347"/>
    <w:rsid w:val="00AE5BDF"/>
    <w:rsid w:val="00E25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EFB34-78DF-4964-9DF2-DC6E2FE6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34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6347"/>
    <w:rPr>
      <w:color w:val="0000FF"/>
      <w:u w:val="single"/>
    </w:rPr>
  </w:style>
  <w:style w:type="character" w:customStyle="1" w:styleId="blk">
    <w:name w:val="blk"/>
    <w:basedOn w:val="a0"/>
    <w:rsid w:val="009D6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5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849</Words>
  <Characters>4844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2021-10-26T09:49:00Z</dcterms:created>
  <dcterms:modified xsi:type="dcterms:W3CDTF">2021-10-26T09:59:00Z</dcterms:modified>
</cp:coreProperties>
</file>