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B0" w:rsidRDefault="004B1DB0" w:rsidP="004B1D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B1DB0" w:rsidRDefault="004B1DB0" w:rsidP="004B1D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B1DB0" w:rsidRDefault="004B1DB0" w:rsidP="004B1D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B1DB0" w:rsidRDefault="004B1DB0" w:rsidP="004B1D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октября 2019 г. № 09-07-10/75783 </w:t>
      </w:r>
    </w:p>
    <w:p w:rsidR="004B1DB0" w:rsidRDefault="004B1DB0" w:rsidP="004B1DB0">
      <w:pPr>
        <w:jc w:val="both"/>
        <w:rPr>
          <w:rFonts w:ascii="Times New Roman" w:hAnsi="Times New Roman" w:cs="Times New Roman"/>
        </w:rPr>
      </w:pPr>
      <w:r>
        <w:t xml:space="preserve">  </w:t>
      </w:r>
    </w:p>
    <w:p w:rsidR="004B1DB0" w:rsidRDefault="004B1DB0" w:rsidP="004B1DB0">
      <w:pPr>
        <w:jc w:val="both"/>
      </w:pPr>
      <w:r>
        <w:t xml:space="preserve">Департамент правового регулирования бюджетных отношений Министерства финансов Российской Федерации (далее - Департамент) рассмотрел обращение о разъяснении положений бюджетного законодательства Российской Федерации, регулирующих вопросы формирования государственного (муниципального) задания на оказание государственных (муниципальных) услуг (выполнение работ) (далее - государственное (муниципальное) задание), и сообщает. </w:t>
      </w:r>
    </w:p>
    <w:p w:rsidR="004B1DB0" w:rsidRDefault="004B1DB0" w:rsidP="004B1DB0">
      <w:pPr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деятельности. </w:t>
      </w:r>
    </w:p>
    <w:p w:rsidR="004B1DB0" w:rsidRDefault="004B1DB0" w:rsidP="004B1DB0">
      <w:pPr>
        <w:jc w:val="both"/>
      </w:pPr>
      <w: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 </w:t>
      </w:r>
    </w:p>
    <w:p w:rsidR="004B1DB0" w:rsidRDefault="004B1DB0" w:rsidP="004B1DB0">
      <w:pPr>
        <w:jc w:val="both"/>
      </w:pPr>
      <w:r>
        <w:t xml:space="preserve">В соответствии со статьей 4 Федерального закона от 02.05.2006 № 59-ФЗ "О порядке рассмотрения обращений граждан Российской Федерации" рассмотрению подлежат следующие виды обращений граждан: </w:t>
      </w:r>
    </w:p>
    <w:p w:rsidR="004B1DB0" w:rsidRDefault="004B1DB0" w:rsidP="004B1DB0">
      <w:pPr>
        <w:jc w:val="both"/>
      </w:pPr>
      <w:r>
        <w:t xml:space="preserve"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 </w:t>
      </w:r>
    </w:p>
    <w:p w:rsidR="004B1DB0" w:rsidRDefault="004B1DB0" w:rsidP="004B1DB0">
      <w:pPr>
        <w:jc w:val="both"/>
      </w:pPr>
      <w:r>
        <w:t xml:space="preserve"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 </w:t>
      </w:r>
    </w:p>
    <w:p w:rsidR="004B1DB0" w:rsidRDefault="004B1DB0" w:rsidP="004B1DB0">
      <w:pPr>
        <w:jc w:val="both"/>
      </w:pPr>
      <w:r>
        <w:t xml:space="preserve"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 </w:t>
      </w:r>
    </w:p>
    <w:p w:rsidR="004B1DB0" w:rsidRDefault="004B1DB0" w:rsidP="004B1DB0">
      <w:pPr>
        <w:jc w:val="both"/>
      </w:pPr>
      <w:r>
        <w:t xml:space="preserve">Учитывая, что обращение не соответствует приведенным видам обращений граждан, подлежащих рассмотрению федеральными органами государственной власти, и содержит вопросы, связанные с финансово-хозяйственной деятельностью учреждения, по мнению Департамента, обращение может быть направлено в Минфин России на бланке учреждения, подписанном уполномоченным лицом. </w:t>
      </w:r>
    </w:p>
    <w:p w:rsidR="004B1DB0" w:rsidRDefault="004B1DB0" w:rsidP="004B1DB0">
      <w:pPr>
        <w:jc w:val="both"/>
      </w:pPr>
      <w:r>
        <w:t xml:space="preserve">Вместе с тем Департамент считает возможным выразить мнение по поставленному в обращении вопросу. </w:t>
      </w:r>
    </w:p>
    <w:p w:rsidR="004B1DB0" w:rsidRDefault="004B1DB0" w:rsidP="004B1DB0">
      <w:pPr>
        <w:jc w:val="both"/>
      </w:pPr>
      <w:r>
        <w:lastRenderedPageBreak/>
        <w:t xml:space="preserve">Согласно положениям пункта 3 статьи 69.2 Бюджетного кодекса Российской Федерации формирование государственного (муниципального) задания федеральным учреждениям, учреждениям субъекта Российской Федерации, муниципальным учреждениям и финансовое обеспечение его выполнения осуществляются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 </w:t>
      </w:r>
    </w:p>
    <w:p w:rsidR="004B1DB0" w:rsidRDefault="004B1DB0" w:rsidP="004B1DB0">
      <w:pPr>
        <w:jc w:val="both"/>
      </w:pPr>
      <w:r>
        <w:t xml:space="preserve">В отношении федеральных бюджетных учреждений порядок формирования государственного задания и финансового обеспечения его выполнения утвержден постановлением Правительства Российской Федерации от 26.06.2015 № 640 (далее - Положение № 640). </w:t>
      </w:r>
    </w:p>
    <w:p w:rsidR="004B1DB0" w:rsidRDefault="004B1DB0" w:rsidP="004B1DB0">
      <w:pPr>
        <w:jc w:val="both"/>
      </w:pPr>
      <w:r>
        <w:t xml:space="preserve">Примечание. </w:t>
      </w:r>
    </w:p>
    <w:p w:rsidR="004B1DB0" w:rsidRDefault="004B1DB0" w:rsidP="004B1DB0">
      <w:pPr>
        <w:jc w:val="both"/>
      </w:pPr>
      <w:r>
        <w:t xml:space="preserve">В тексте документа, видимо, допущена опечатка: имеется в виду пункт 3 Положения, утвержденного постановлением Правительства РФ от 26.06.2015 № 640, а не пункт 2. </w:t>
      </w:r>
    </w:p>
    <w:p w:rsidR="004B1DB0" w:rsidRDefault="004B1DB0" w:rsidP="004B1DB0">
      <w:pPr>
        <w:jc w:val="both"/>
      </w:pPr>
      <w:r>
        <w:t xml:space="preserve">В соответствии с положениями пункта 2 Положения № 640 государственное задание содержит показатели, характеризующие качество и (или) объем (содержание) государственной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 в рамках государственного задания, либо порядок установления указанных цен (тарифов) в случаях, установленных законодательством Российской Федерации, порядок контроля за исполнением государственного задания и требования к отчетности о выполнении государственного задания. </w:t>
      </w:r>
    </w:p>
    <w:p w:rsidR="004B1DB0" w:rsidRDefault="004B1DB0" w:rsidP="004B1DB0">
      <w:pPr>
        <w:jc w:val="both"/>
      </w:pPr>
      <w:r>
        <w:t xml:space="preserve">В соответствии с положениями пункта 11 Положения № 640 объем финансового обеспечения выполнения государственного задания рассчитывается на основании нормативных затрат на оказание государственных услуг, нормативных затрат, связанных с выполнением работ. </w:t>
      </w:r>
    </w:p>
    <w:p w:rsidR="004B1DB0" w:rsidRDefault="004B1DB0" w:rsidP="004B1DB0">
      <w:pPr>
        <w:jc w:val="both"/>
      </w:pPr>
      <w:r>
        <w:t xml:space="preserve">При этом согласно пункту 13 Положения № 640 нормативные затраты на оказание государственной услуги рассчитываются на единицу показателя объема оказания услуги, установленного в государственном задании. </w:t>
      </w:r>
    </w:p>
    <w:p w:rsidR="004B1DB0" w:rsidRDefault="004B1DB0" w:rsidP="004B1DB0">
      <w:pPr>
        <w:jc w:val="both"/>
      </w:pPr>
      <w:r>
        <w:t xml:space="preserve">Таким образом, показатель объема государственной услуги является обязательным элементом государственного задания федеральных учреждений. </w:t>
      </w:r>
    </w:p>
    <w:p w:rsidR="004B1DB0" w:rsidRDefault="004B1DB0" w:rsidP="004B1DB0">
      <w:pPr>
        <w:jc w:val="both"/>
      </w:pPr>
      <w:r>
        <w:t xml:space="preserve">Показатели, характеризующие качество государственных услуг, включаются в государственное задание в случае, если они установлены по соответствующей услуге в общероссийском базовом (отраслевом) перечне (классификаторе) государственных и муниципальных услуг, оказываемых физическим лицам (далее - общероссийские базовые перечни), и (или) федеральном перечне (классификаторе) государственных услуг, не включенных в общероссийские базовые перечни, и работ, оказание и выполнение которых предусмотрено нормативными правовыми актами Российской Федерации. При отсутствии показателей качества в указанных перечнях данные показатели при необходимости могут быть включены в государственное задание органом, осуществляющим функции и полномочия учредителя федеральных бюджетных или автономных учреждений. </w:t>
      </w:r>
    </w:p>
    <w:p w:rsidR="004B1DB0" w:rsidRDefault="004B1DB0" w:rsidP="004B1DB0">
      <w:pPr>
        <w:jc w:val="both"/>
      </w:pPr>
      <w:r>
        <w:t xml:space="preserve">Допустимые (возможные) отклонения показателей государственного задания, согласно положениям пункта 3 Положения № 640, могут быть установлены в процентах (абсолютных величинах) от установленных значений показателей качества и (или) объема, если иное не установлено федеральным законом, в отношении отдельной государственной услуги (работы), либо общее допустимое (возможное) отклонение - в отношении государственного задания или его части. </w:t>
      </w:r>
    </w:p>
    <w:p w:rsidR="004B1DB0" w:rsidRDefault="004B1DB0" w:rsidP="004B1DB0">
      <w:pPr>
        <w:jc w:val="both"/>
      </w:pPr>
      <w:r>
        <w:lastRenderedPageBreak/>
        <w:t xml:space="preserve">При этом согласно пункту 6 статьи 69.2 Бюджетного кодекса Российской Федерации государственное (муниципальное) задание является невыполненным в случае </w:t>
      </w:r>
      <w:proofErr w:type="spellStart"/>
      <w:r>
        <w:t>недостижения</w:t>
      </w:r>
      <w:proofErr w:type="spellEnd"/>
      <w:r>
        <w:t xml:space="preserve"> (превышения допустимого (возможного) отклонения) показателей государственного (муниципального) задания, характеризующих объем оказываемых государственных (муниципальных) услуг (выполняемых работ), а также показателей государственного (муниципального) задания, характеризующих качество оказываемых государственных (муниципальных) услуг (выполняемых работ), если такие показатели установлены в государственном (муниципальном) задании. </w:t>
      </w:r>
    </w:p>
    <w:p w:rsidR="004B1DB0" w:rsidRDefault="004B1DB0" w:rsidP="004B1DB0">
      <w:pPr>
        <w:jc w:val="both"/>
      </w:pPr>
      <w:r>
        <w:t>В этой связи установление диапазона допустимых (возможных) отклонений в государственном задании, по мнению Департамента, противоречит вышеуказанным положениям законодательства Российской Федерации.</w:t>
      </w:r>
      <w:bookmarkStart w:id="0" w:name="_GoBack"/>
      <w:bookmarkEnd w:id="0"/>
      <w:r>
        <w:t xml:space="preserve">  </w:t>
      </w:r>
    </w:p>
    <w:p w:rsidR="004B1DB0" w:rsidRDefault="004B1DB0" w:rsidP="004B1DB0">
      <w:pPr>
        <w:jc w:val="right"/>
      </w:pPr>
      <w:r>
        <w:t xml:space="preserve">Директор Департамента </w:t>
      </w:r>
    </w:p>
    <w:p w:rsidR="004B1DB0" w:rsidRDefault="004B1DB0" w:rsidP="004B1DB0">
      <w:pPr>
        <w:jc w:val="right"/>
      </w:pPr>
      <w:r>
        <w:t xml:space="preserve">Т.В.СААКЯН </w:t>
      </w:r>
    </w:p>
    <w:p w:rsidR="004B1DB0" w:rsidRDefault="004B1DB0" w:rsidP="004B1DB0">
      <w:pPr>
        <w:jc w:val="both"/>
      </w:pPr>
      <w:r>
        <w:t xml:space="preserve">02.10.2019 </w:t>
      </w:r>
    </w:p>
    <w:p w:rsidR="004B1DB0" w:rsidRDefault="004B1DB0"/>
    <w:sectPr w:rsidR="004B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B0"/>
    <w:rsid w:val="004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B392"/>
  <w15:chartTrackingRefBased/>
  <w15:docId w15:val="{4ABB6B2F-1352-4069-98D0-EFD01EC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DB0"/>
    <w:rPr>
      <w:color w:val="0000FF"/>
      <w:u w:val="single"/>
    </w:rPr>
  </w:style>
  <w:style w:type="character" w:customStyle="1" w:styleId="blk">
    <w:name w:val="blk"/>
    <w:basedOn w:val="a0"/>
    <w:rsid w:val="004B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2022-02-02T09:26:00Z</dcterms:created>
  <dcterms:modified xsi:type="dcterms:W3CDTF">2022-02-02T09:33:00Z</dcterms:modified>
</cp:coreProperties>
</file>