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68D" w:rsidRDefault="0098768D" w:rsidP="009876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8768D" w:rsidRDefault="0098768D" w:rsidP="009876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8768D" w:rsidRDefault="0098768D" w:rsidP="009876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8768D" w:rsidRDefault="0098768D" w:rsidP="009876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сентября 2020 г. № 24-01-07/82033 </w:t>
      </w:r>
    </w:p>
    <w:p w:rsidR="0098768D" w:rsidRDefault="0098768D" w:rsidP="0098768D">
      <w:pPr>
        <w:rPr>
          <w:rFonts w:ascii="Times New Roman" w:hAnsi="Times New Roman" w:cs="Times New Roman"/>
        </w:rPr>
      </w:pPr>
      <w:r>
        <w:t xml:space="preserve">  </w:t>
      </w:r>
    </w:p>
    <w:p w:rsidR="0098768D" w:rsidRDefault="0098768D" w:rsidP="0098768D">
      <w:r>
        <w:t xml:space="preserve">Департамент бюджетной политики в сфере контрактной системы Минфина России (далее - Департамент), рассмотрев обращение ООО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и оплаты по контракту исполнителю, применяющему упрощенную систему налогообложения, сообщает следующее. </w:t>
      </w:r>
    </w:p>
    <w:p w:rsidR="0098768D" w:rsidRDefault="0098768D" w:rsidP="0098768D"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98768D" w:rsidRDefault="0098768D" w:rsidP="0098768D">
      <w:r>
        <w:t xml:space="preserve"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:rsidR="0098768D" w:rsidRDefault="0098768D" w:rsidP="0098768D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98768D" w:rsidRDefault="0098768D" w:rsidP="0098768D">
      <w:r>
        <w:t xml:space="preserve">Вместе с тем в рамках компетенции Департамента полагаем необходимым отметить следующее. </w:t>
      </w:r>
    </w:p>
    <w:p w:rsidR="0098768D" w:rsidRDefault="0098768D" w:rsidP="0098768D">
      <w:r>
        <w:t xml:space="preserve">Примечание. </w:t>
      </w:r>
    </w:p>
    <w:p w:rsidR="0098768D" w:rsidRDefault="0098768D" w:rsidP="0098768D">
      <w:r>
        <w:t xml:space="preserve">В тексте документа, видимо, допущена опечатка: имеется в виду пункт 4 части 1 статьи 3 Федерального закона от 05.04.2013 № 44-ФЗ. </w:t>
      </w:r>
    </w:p>
    <w:p w:rsidR="0098768D" w:rsidRDefault="0098768D" w:rsidP="0098768D">
      <w:r>
        <w:t xml:space="preserve">В соответствии с пунктом 4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(далее - Кодекс)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 </w:t>
      </w:r>
    </w:p>
    <w:p w:rsidR="0098768D" w:rsidRDefault="0098768D" w:rsidP="0098768D">
      <w:r>
        <w:lastRenderedPageBreak/>
        <w:t xml:space="preserve">Таким образом, любой участник закупки, в том числе освобожденный от уплаты налога на добавленную стоимость и применяющий упрощенную систему налогообложения, вправе участвовать в закупках. </w:t>
      </w:r>
    </w:p>
    <w:p w:rsidR="0098768D" w:rsidRDefault="0098768D" w:rsidP="0098768D">
      <w:r>
        <w:t xml:space="preserve">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</w:t>
      </w:r>
    </w:p>
    <w:p w:rsidR="0098768D" w:rsidRDefault="0098768D" w:rsidP="0098768D"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 (часть 2 статьи 34 Закона № 44-ФЗ). </w:t>
      </w:r>
    </w:p>
    <w:p w:rsidR="0098768D" w:rsidRDefault="0098768D" w:rsidP="0098768D">
      <w:r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Кодекса. </w:t>
      </w:r>
    </w:p>
    <w:p w:rsidR="0098768D" w:rsidRDefault="0098768D" w:rsidP="0098768D">
      <w:r>
        <w:t xml:space="preserve">Таким образом, в соответствии с положениями Закона о контрактной системе контракт заключается и оплачивается заказчиком по цене победителя закупок вне зависимости от применяемой победителем системы налогообложения. </w:t>
      </w:r>
    </w:p>
    <w:p w:rsidR="0098768D" w:rsidRDefault="0098768D" w:rsidP="0098768D">
      <w:r>
        <w:t xml:space="preserve">Сумма, предусмотренная контрактом за выполненный объем работ, должна быть уплачена победителю закупок в установленном контрактом размере. </w:t>
      </w:r>
    </w:p>
    <w:p w:rsidR="0098768D" w:rsidRDefault="0098768D" w:rsidP="0098768D">
      <w: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о контрактной системе не предусмотрена. </w:t>
      </w:r>
    </w:p>
    <w:p w:rsidR="0098768D" w:rsidRDefault="0098768D" w:rsidP="0098768D">
      <w:r>
        <w:t xml:space="preserve">При этом в ряде случаев в соответствии с пунктом 2 части 13 статьи 34 Закона № 44-ФЗ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98768D" w:rsidRDefault="0098768D" w:rsidP="0098768D">
      <w:r>
        <w:t xml:space="preserve">Таким образом, Законом №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 </w:t>
      </w:r>
    </w:p>
    <w:p w:rsidR="0098768D" w:rsidRDefault="0098768D" w:rsidP="0098768D">
      <w:r>
        <w:lastRenderedPageBreak/>
        <w:t xml:space="preserve">Дополнительно отмечаем, что пунктами 2 и 3 статьи 346.11 главы 26.2 "Упрощенная система налогообложения" Кодекса установлено, что организации и 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налога на добавленную стоимость, уплачиваемого в соответствии со статьями 161 и 174.1 Кодекса. </w:t>
      </w:r>
    </w:p>
    <w:p w:rsidR="0098768D" w:rsidRDefault="0098768D" w:rsidP="0098768D">
      <w:r>
        <w:t xml:space="preserve"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 </w:t>
      </w:r>
    </w:p>
    <w:p w:rsidR="0098768D" w:rsidRDefault="0098768D" w:rsidP="0098768D">
      <w:r>
        <w:t>Пунктом 5 постановления Пленума Высшего Арбитражного Суда Российской Федерации от 30 мая 2014 г. № 33 разъяснено, что возникновение в данном случае обязанности по перечислению в бюджет налога на добавленную стоимость не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 предусмотрена.</w:t>
      </w:r>
      <w:bookmarkStart w:id="0" w:name="_GoBack"/>
      <w:bookmarkEnd w:id="0"/>
      <w:r>
        <w:t xml:space="preserve">  </w:t>
      </w:r>
    </w:p>
    <w:p w:rsidR="0098768D" w:rsidRDefault="0098768D" w:rsidP="0098768D">
      <w:pPr>
        <w:jc w:val="right"/>
      </w:pPr>
      <w:r>
        <w:t xml:space="preserve">Заместитель директора Департамента </w:t>
      </w:r>
    </w:p>
    <w:p w:rsidR="0098768D" w:rsidRDefault="0098768D" w:rsidP="0098768D">
      <w:pPr>
        <w:jc w:val="right"/>
      </w:pPr>
      <w:r>
        <w:t xml:space="preserve">Д.А.ГОТОВЦЕВ </w:t>
      </w:r>
    </w:p>
    <w:p w:rsidR="0098768D" w:rsidRDefault="0098768D" w:rsidP="0098768D">
      <w:r>
        <w:t xml:space="preserve">18.09.2020 </w:t>
      </w:r>
    </w:p>
    <w:p w:rsidR="00A1133E" w:rsidRDefault="00A1133E"/>
    <w:sectPr w:rsidR="00A1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8D"/>
    <w:rsid w:val="0098768D"/>
    <w:rsid w:val="00A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D27EA-6018-41FF-A452-E132248C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68D"/>
    <w:rPr>
      <w:color w:val="0000FF"/>
      <w:u w:val="single"/>
    </w:rPr>
  </w:style>
  <w:style w:type="character" w:customStyle="1" w:styleId="blk">
    <w:name w:val="blk"/>
    <w:basedOn w:val="a0"/>
    <w:rsid w:val="0098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2022-02-11T05:33:00Z</dcterms:created>
  <dcterms:modified xsi:type="dcterms:W3CDTF">2022-02-11T05:35:00Z</dcterms:modified>
</cp:coreProperties>
</file>