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01" w:rsidRDefault="00366001" w:rsidP="00366001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Информационное сообщение Банка России от 18 марта 2022 г.</w:t>
      </w:r>
      <w:r>
        <w:rPr>
          <w:color w:val="22272F"/>
          <w:sz w:val="34"/>
          <w:szCs w:val="34"/>
        </w:rPr>
        <w:br/>
        <w:t>"Банк России принял решение сохранить ключевую ставку на уровне 20 процентов годовых"</w:t>
      </w:r>
    </w:p>
    <w:p w:rsidR="00366001" w:rsidRDefault="00366001" w:rsidP="00366001">
      <w:r>
        <w:t>Совет директоров Банка России 18 марта 2022 года принял решение сохранить ключевую ставку на уровне 20% годовых. На фоне кардинально изменившихся внешних условий резкое повышение Банком России ключевой ставки 28 февраля поддержало финансовую стабильность и предотвратило неконтролируемый рост цен. Российская экономика входит в фазу масштабной структурной перестройки, которая будет сопровождаться временным, но неизбежным периодом повышенной инфляции, в основном связанным с подстройкой относительных цен по широкому кругу товаров и услуг. Проводимая Банком России денежно-кредитная политика создаст условия для постепенной адаптации экономики к новым условиям и возвращения годовой инфляции к 4% в 2024 году.</w:t>
      </w:r>
    </w:p>
    <w:p w:rsidR="00366001" w:rsidRDefault="00366001" w:rsidP="00366001">
      <w:r>
        <w:t>В дальнейшем Банк России будет принимать решения по ключевой ставке с учетом фактической и ожидаемой динамики инфляции относительно цели, развития экономики на прогнозном горизонте, а также оценивая риски со стороны внутренних и внешних условий и реакции на них финансовых рынков.</w:t>
      </w:r>
    </w:p>
    <w:p w:rsidR="00366001" w:rsidRDefault="00366001" w:rsidP="00366001">
      <w:r>
        <w:t xml:space="preserve">Финансовая стабильность и денежно-кредитные условия. Кардинальное изменение внешних условий для российской экономики, произошедшее в конце февраля, создало угрозы для финансовой стабильности. Повышение Банком России ключевой ставки 28 февраля и меры по </w:t>
      </w:r>
      <w:proofErr w:type="gramStart"/>
      <w:r>
        <w:t>контролю за</w:t>
      </w:r>
      <w:proofErr w:type="gramEnd"/>
      <w:r>
        <w:t xml:space="preserve"> движением капитала позволили поддержать стабильное функционирование российской финансовой системы.</w:t>
      </w:r>
    </w:p>
    <w:p w:rsidR="00366001" w:rsidRDefault="00366001" w:rsidP="00366001">
      <w:r>
        <w:t>Депозитные ставки существенно выросли. Это восстановило приток средств на срочные рублевые банковские депозиты и стабилизировало спрос населения на наличность. Проводимая Банком России денежно-кредитная политика поддерживает привлекательность депозитов и увеличивает склонность населения к сбережению.</w:t>
      </w:r>
    </w:p>
    <w:p w:rsidR="00366001" w:rsidRDefault="00366001" w:rsidP="00366001">
      <w:r>
        <w:t>Рост кредитных ставок и требований банков к качеству заемщиков на фоне возросшей неопределенности привел к значимому ужесточению условий банковского кредитования. На этом фоне в ближайшие месяцы ожидается существенное ослабление кредитной активности. Вместе с тем принятые Банком России меры по стабилизации ситуации на финансовом рынке и регуляторные послабления, а также правительственные программы льготного кредитования поддержат доступность кредитных ресурсов для предприятий, особенно в наиболее уязвимых секторах, и смягчат масштабы ожидаемого снижения экономической активности.</w:t>
      </w:r>
    </w:p>
    <w:p w:rsidR="00366001" w:rsidRDefault="00366001" w:rsidP="00366001">
      <w:r>
        <w:t>Динамика инфляции. По недельным оценкам, с начала марта инфляция значимо ускорилась. На текущей динамике цен во многом отражается всплеск потребительского спроса на отдельные группы товаров на фоне возросшей неопределенности и роста инфляционных ожиданий, а также произошедшее с начала 2022 года ослабление рубля.</w:t>
      </w:r>
    </w:p>
    <w:p w:rsidR="00366001" w:rsidRDefault="00366001" w:rsidP="00366001">
      <w:r>
        <w:t xml:space="preserve">Российская экономика входит в фазу масштабной структурной перестройки, которая будет сопровождаться временным, но неизбежным периодом повышенной инфляции, </w:t>
      </w:r>
      <w:proofErr w:type="gramStart"/>
      <w:r>
        <w:t>связанным</w:t>
      </w:r>
      <w:proofErr w:type="gramEnd"/>
      <w:r>
        <w:t xml:space="preserve"> в том числе с подстройкой относительных цен по широкому кругу товаров и услуг. Адаптация бизнеса к изменившимся внешним условиям, в том числе перестройка производственных и логистических </w:t>
      </w:r>
      <w:r>
        <w:lastRenderedPageBreak/>
        <w:t>цепочек, станет определяющим фактором, влияющим на динамику относительных цен на горизонте ближайших кварталов.</w:t>
      </w:r>
    </w:p>
    <w:p w:rsidR="00366001" w:rsidRDefault="00366001" w:rsidP="00366001">
      <w:r>
        <w:t>Экономическая активность. Оперативные индикаторы, в том числе результаты мониторинга предприятий, проводимого Банком России, свидетельствуют об ухудшении ситуации в российской экономике. Предприятия во многих отраслях сообщают о затруднениях в производстве и логистике на фоне введенных в отношении России торговых и финансовых ограничений. Резко возросшая неопределенность негативно влияет на настроения и ожидания населения и бизнеса.</w:t>
      </w:r>
    </w:p>
    <w:p w:rsidR="00366001" w:rsidRDefault="00366001" w:rsidP="00366001">
      <w:r>
        <w:t xml:space="preserve">По оценкам Банка России, в ближайшие кварталы произойдет снижение ВВП. Оно в основном будет связано с факторами на стороне предложения и, как следствие, будет иметь ограниченное </w:t>
      </w:r>
      <w:proofErr w:type="spellStart"/>
      <w:r>
        <w:t>дезинфляционное</w:t>
      </w:r>
      <w:proofErr w:type="spellEnd"/>
      <w:r>
        <w:t xml:space="preserve"> влияние. Принимаемые Правительством и Банком России меры поддержки ограничат масштаб экономического спада. Дальнейшая траектория восстановления российской экономики будет во многом зависеть от степени и скорости ее подстройки к новым условиям.</w:t>
      </w:r>
    </w:p>
    <w:p w:rsidR="00366001" w:rsidRDefault="00366001" w:rsidP="00366001">
      <w:r>
        <w:t xml:space="preserve">Инфляционные риски. </w:t>
      </w:r>
      <w:proofErr w:type="spellStart"/>
      <w:r>
        <w:t>Проинфляционные</w:t>
      </w:r>
      <w:proofErr w:type="spellEnd"/>
      <w:r>
        <w:t xml:space="preserve"> риски существенно возросли и преобладают на всем прогнозном горизонте. В краткосрочном периоде действие </w:t>
      </w:r>
      <w:proofErr w:type="spellStart"/>
      <w:r>
        <w:t>проинфляционных</w:t>
      </w:r>
      <w:proofErr w:type="spellEnd"/>
      <w:r>
        <w:t xml:space="preserve"> факторов может быть усилено высокими и </w:t>
      </w:r>
      <w:proofErr w:type="spellStart"/>
      <w:r>
        <w:t>незаякоренными</w:t>
      </w:r>
      <w:proofErr w:type="spellEnd"/>
      <w:r>
        <w:t xml:space="preserve"> инфляционными ожиданиями. На более длинном горизонте сохраняется значительная неопределенность относительно скорости и масштаба подстройки совокупного предложения в российской экономике в ответ на произошедшее усиление торговых и финансовых ограничений.</w:t>
      </w:r>
    </w:p>
    <w:p w:rsidR="00366001" w:rsidRDefault="00366001" w:rsidP="00366001">
      <w:r>
        <w:t>Динамика экономики и инфляции будет значимо зависеть от решений, принимаемых в области бюджетной политики.</w:t>
      </w:r>
    </w:p>
    <w:p w:rsidR="00366001" w:rsidRDefault="00366001" w:rsidP="00366001">
      <w:r>
        <w:t>Проводимая Банком России денежно-кредитная политика создаст условия для постепенной адаптации экономики к новым условиям и предотвратит неконтролируемый рост цен. С учетом этого годовая инфляция вернется к 4% в 2024 году.</w:t>
      </w:r>
    </w:p>
    <w:p w:rsidR="00366001" w:rsidRDefault="00366001" w:rsidP="00366001">
      <w:r>
        <w:t>В дальнейшем Банк России будет принимать решения по ключевой ставке с учетом фактической и ожидаемой динамики инфляции относительно цели, развития экономики на прогнозном горизонте, а также оценивая риски со стороны внутренних и внешних условий и реакции на них финансовых рынков.</w:t>
      </w:r>
    </w:p>
    <w:p w:rsidR="00BD2810" w:rsidRDefault="00366001" w:rsidP="00366001">
      <w:r>
        <w:t>Следующее заседание Совета директоров Банка России, на котором будет рассматриваться вопрос об уровне ключевой ставки, запланировано на 29 апреля 2022 года. Время публикации пресс-релиза о решении Совета директоров Банка России и среднесрочного прогноза - 13:30 по московскому времени.</w:t>
      </w:r>
      <w:bookmarkStart w:id="0" w:name="_GoBack"/>
      <w:bookmarkEnd w:id="0"/>
    </w:p>
    <w:sectPr w:rsidR="00BD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01"/>
    <w:rsid w:val="00366001"/>
    <w:rsid w:val="00B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6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6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660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6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6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660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0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2022-03-21T05:46:00Z</dcterms:created>
  <dcterms:modified xsi:type="dcterms:W3CDTF">2022-03-21T05:48:00Z</dcterms:modified>
</cp:coreProperties>
</file>