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AA7" w:rsidRDefault="00872AA7" w:rsidP="00872AA7">
      <w:pPr>
        <w:jc w:val="center"/>
        <w:rPr>
          <w:rFonts w:ascii="Arial" w:hAnsi="Arial" w:cs="Arial"/>
          <w:b/>
          <w:bCs/>
        </w:rPr>
      </w:pPr>
      <w:r>
        <w:rPr>
          <w:rFonts w:ascii="Arial" w:hAnsi="Arial" w:cs="Arial"/>
          <w:b/>
          <w:bCs/>
        </w:rPr>
        <w:t xml:space="preserve">МИНИСТЕРСТВО ФИНАНСОВ РОССИЙСКОЙ ФЕДЕРАЦИИ </w:t>
      </w:r>
    </w:p>
    <w:p w:rsidR="00872AA7" w:rsidRDefault="00872AA7" w:rsidP="00872AA7">
      <w:pPr>
        <w:jc w:val="center"/>
        <w:rPr>
          <w:rFonts w:ascii="Arial" w:hAnsi="Arial" w:cs="Arial"/>
          <w:b/>
          <w:bCs/>
        </w:rPr>
      </w:pPr>
      <w:r>
        <w:rPr>
          <w:rFonts w:ascii="Arial" w:hAnsi="Arial" w:cs="Arial"/>
          <w:b/>
          <w:bCs/>
        </w:rPr>
        <w:t xml:space="preserve">  </w:t>
      </w:r>
    </w:p>
    <w:p w:rsidR="00872AA7" w:rsidRDefault="00872AA7" w:rsidP="00872AA7">
      <w:pPr>
        <w:jc w:val="center"/>
        <w:rPr>
          <w:rFonts w:ascii="Arial" w:hAnsi="Arial" w:cs="Arial"/>
          <w:b/>
          <w:bCs/>
        </w:rPr>
      </w:pPr>
      <w:r>
        <w:rPr>
          <w:rFonts w:ascii="Arial" w:hAnsi="Arial" w:cs="Arial"/>
          <w:b/>
          <w:bCs/>
        </w:rPr>
        <w:t xml:space="preserve">ПИСЬМО </w:t>
      </w:r>
    </w:p>
    <w:p w:rsidR="00872AA7" w:rsidRDefault="00872AA7" w:rsidP="00872AA7">
      <w:pPr>
        <w:jc w:val="center"/>
        <w:rPr>
          <w:rFonts w:ascii="Arial" w:hAnsi="Arial" w:cs="Arial"/>
          <w:b/>
          <w:bCs/>
        </w:rPr>
      </w:pPr>
      <w:r>
        <w:rPr>
          <w:rFonts w:ascii="Arial" w:hAnsi="Arial" w:cs="Arial"/>
          <w:b/>
          <w:bCs/>
        </w:rPr>
        <w:t xml:space="preserve">от 25 августа 2020 г. № 24-03-08/74388 </w:t>
      </w:r>
    </w:p>
    <w:p w:rsidR="00872AA7" w:rsidRDefault="00872AA7" w:rsidP="00872AA7">
      <w:pPr>
        <w:rPr>
          <w:rFonts w:ascii="Times New Roman" w:hAnsi="Times New Roman" w:cs="Times New Roman"/>
        </w:rPr>
      </w:pPr>
      <w:r>
        <w:t xml:space="preserve">  </w:t>
      </w:r>
    </w:p>
    <w:p w:rsidR="00872AA7" w:rsidRDefault="00872AA7" w:rsidP="00872AA7">
      <w:proofErr w:type="gramStart"/>
      <w:r>
        <w:t xml:space="preserve">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осуществления закупок, в рамках компетенции сообщает следующее. </w:t>
      </w:r>
      <w:proofErr w:type="gramEnd"/>
    </w:p>
    <w:p w:rsidR="00872AA7" w:rsidRDefault="00872AA7" w:rsidP="00872AA7">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872AA7" w:rsidRDefault="00872AA7" w:rsidP="00872AA7">
      <w:r>
        <w:t xml:space="preserve">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 </w:t>
      </w:r>
    </w:p>
    <w:p w:rsidR="00872AA7" w:rsidRDefault="00872AA7" w:rsidP="00872AA7">
      <w:r>
        <w:t xml:space="preserve">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 </w:t>
      </w:r>
    </w:p>
    <w:p w:rsidR="00872AA7" w:rsidRDefault="00872AA7" w:rsidP="00872AA7">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872AA7" w:rsidRDefault="00872AA7" w:rsidP="00872AA7">
      <w:r>
        <w:t xml:space="preserve">Вместе с тем Департамент считает необходимым отметить следующее. </w:t>
      </w:r>
    </w:p>
    <w:p w:rsidR="00872AA7" w:rsidRDefault="00872AA7" w:rsidP="00872AA7">
      <w:proofErr w:type="gramStart"/>
      <w:r>
        <w:t>В соответствии с частью 3 статьи 14 Закона № 44-ФЗ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w:t>
      </w:r>
      <w:proofErr w:type="gramEnd"/>
      <w:r>
        <w:t xml:space="preserve">, услуг, включая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и перечень таких товаров, для целей осуществления закупок. </w:t>
      </w:r>
    </w:p>
    <w:p w:rsidR="00872AA7" w:rsidRDefault="00872AA7" w:rsidP="00872AA7">
      <w:proofErr w:type="gramStart"/>
      <w:r>
        <w:t xml:space="preserve">В реализацию указанного полномочия Правительства Российской Федерации принято постановление Правительства Российской Федерации от 5 февраля 2015 г. № 102 "Об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w:t>
      </w:r>
      <w:r>
        <w:lastRenderedPageBreak/>
        <w:t>муниципальных нужд" (далее - Постановление № 102), которым в том числе установлены ограничения в отношении изделий санитарно-гигиенических - абсорбирующего белья (подгузники (за исключением размера</w:t>
      </w:r>
      <w:proofErr w:type="gramEnd"/>
      <w:r>
        <w:t xml:space="preserve"> </w:t>
      </w:r>
      <w:proofErr w:type="gramStart"/>
      <w:r>
        <w:t xml:space="preserve">XS (сверхмалые), пеленки). </w:t>
      </w:r>
      <w:proofErr w:type="gramEnd"/>
    </w:p>
    <w:p w:rsidR="00872AA7" w:rsidRDefault="00872AA7" w:rsidP="00872AA7">
      <w:r>
        <w:t xml:space="preserve">Вместе с тем, как следует из обращения, закупка осуществлялась у единственного поставщика, в </w:t>
      </w:r>
      <w:proofErr w:type="gramStart"/>
      <w:r>
        <w:t>связи</w:t>
      </w:r>
      <w:proofErr w:type="gramEnd"/>
      <w:r>
        <w:t xml:space="preserve"> с чем необходимо отметить, что ограничение на допуск, установленное вышеуказанным постановлением Правительства Российской Федерации, применяется при условии, что на участие в определении поставщика подано не менее 2 удовлетворяющих требованиям извещения об осуществлении закупки и (или) документации о закупке заявок (окончательных предложений), которые одновременно удовлетворяют требованиям, установленным пунктом 2 Постановления № 102.</w:t>
      </w:r>
      <w:bookmarkStart w:id="0" w:name="_GoBack"/>
      <w:bookmarkEnd w:id="0"/>
      <w:r>
        <w:t xml:space="preserve">  </w:t>
      </w:r>
    </w:p>
    <w:p w:rsidR="00872AA7" w:rsidRDefault="00872AA7" w:rsidP="00872AA7">
      <w:pPr>
        <w:jc w:val="right"/>
      </w:pPr>
      <w:r>
        <w:t xml:space="preserve">Заместитель директора Департамента </w:t>
      </w:r>
    </w:p>
    <w:p w:rsidR="00872AA7" w:rsidRDefault="00872AA7" w:rsidP="00872AA7">
      <w:pPr>
        <w:jc w:val="right"/>
      </w:pPr>
      <w:r>
        <w:t xml:space="preserve">Д.А.ГОТОВЦЕВ </w:t>
      </w:r>
    </w:p>
    <w:p w:rsidR="00872AA7" w:rsidRDefault="00872AA7" w:rsidP="00872AA7">
      <w:r>
        <w:t xml:space="preserve">25.08.2020 </w:t>
      </w:r>
    </w:p>
    <w:p w:rsidR="007A48B6" w:rsidRDefault="007A48B6"/>
    <w:sectPr w:rsidR="007A48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AA7"/>
    <w:rsid w:val="007A48B6"/>
    <w:rsid w:val="00872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AA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2AA7"/>
    <w:rPr>
      <w:color w:val="0000FF"/>
      <w:u w:val="single"/>
    </w:rPr>
  </w:style>
  <w:style w:type="character" w:customStyle="1" w:styleId="blk">
    <w:name w:val="blk"/>
    <w:basedOn w:val="a0"/>
    <w:rsid w:val="00872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AA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2AA7"/>
    <w:rPr>
      <w:color w:val="0000FF"/>
      <w:u w:val="single"/>
    </w:rPr>
  </w:style>
  <w:style w:type="character" w:customStyle="1" w:styleId="blk">
    <w:name w:val="blk"/>
    <w:basedOn w:val="a0"/>
    <w:rsid w:val="00872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2022-04-20T10:33:00Z</dcterms:created>
  <dcterms:modified xsi:type="dcterms:W3CDTF">2022-04-20T10:36:00Z</dcterms:modified>
</cp:coreProperties>
</file>