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3D9" w:rsidRDefault="008A33D9" w:rsidP="008A33D9"/>
    <w:p w:rsidR="008A33D9" w:rsidRDefault="008A33D9" w:rsidP="008A33D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8A33D9" w:rsidRDefault="008A33D9" w:rsidP="008A33D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8A33D9" w:rsidRDefault="008A33D9" w:rsidP="008A33D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8A33D9" w:rsidRDefault="008A33D9" w:rsidP="008A33D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14 сентября 2020 г. № 24-05-08/80942 </w:t>
      </w:r>
    </w:p>
    <w:p w:rsidR="008A33D9" w:rsidRDefault="008A33D9" w:rsidP="008A33D9">
      <w:pPr>
        <w:rPr>
          <w:rFonts w:ascii="Times New Roman" w:hAnsi="Times New Roman" w:cs="Times New Roman"/>
        </w:rPr>
      </w:pPr>
      <w:r>
        <w:t xml:space="preserve">  </w:t>
      </w:r>
    </w:p>
    <w:p w:rsidR="009965DF" w:rsidRDefault="009965DF" w:rsidP="009965DF">
      <w:proofErr w:type="gramStart"/>
      <w:r>
        <w:t xml:space="preserve">Минфин России, рассмотрев обращение от 13.08.2020 по вопросам обеспечения заявок на участие в конкурсе или аукционе, обеспечения исполнения контракта, гарантийных обязательств по контракту в соответствии с положениями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44-ФЗ, Обращение), в рамках компетенции сообщает следующее. </w:t>
      </w:r>
      <w:proofErr w:type="gramEnd"/>
    </w:p>
    <w:p w:rsidR="009965DF" w:rsidRDefault="009965DF" w:rsidP="009965DF">
      <w:proofErr w:type="gramStart"/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</w:t>
      </w:r>
      <w:proofErr w:type="gramEnd"/>
      <w:r>
        <w:t xml:space="preserve"> обоснования решения, принятого по обращению, а также не рассматриваются по существу обращения по оценке конкретных хозяйственных ситуаций. </w:t>
      </w:r>
    </w:p>
    <w:p w:rsidR="009965DF" w:rsidRDefault="009965DF" w:rsidP="009965DF">
      <w:r>
        <w:t xml:space="preserve">Вместе с тем Минфин России считает возможным по изложенным в Обращении вопросам сообщить следующее. </w:t>
      </w:r>
    </w:p>
    <w:p w:rsidR="009965DF" w:rsidRDefault="009965DF" w:rsidP="009965DF">
      <w:r>
        <w:t xml:space="preserve">1. По вопросу отклонения заявки в случае выявления несоответствия банковской гарантии, предоставленной участником закупки в качестве обеспечения заявки на участие в закупке, требованиям, установленным в соответствии с Законом № 44-ФЗ, позиция изложена в информационном письме Минфина России от 30.07.2019 № 24-05-05/57198. </w:t>
      </w:r>
    </w:p>
    <w:p w:rsidR="009965DF" w:rsidRDefault="009965DF" w:rsidP="009965DF">
      <w:r>
        <w:t xml:space="preserve">Необходимо отметить, что указанный вопрос урегулирован положениями разработанного Минфином России проекта федерального закона "О внесении изменений в Федеральный закон "О внесении изменений в отдельные законодательные акты Российской Федерации по вопросам упрощения и оптимизации порядка осуществления закупок товаров, работ, услуг для государственных и муниципальных нужд". </w:t>
      </w:r>
    </w:p>
    <w:p w:rsidR="009965DF" w:rsidRDefault="009965DF" w:rsidP="009965DF">
      <w:r>
        <w:t xml:space="preserve">2. По вопросу о сроке рассмотрения заказчиком банковской гарантии Минфин России сообщает следующее. </w:t>
      </w:r>
    </w:p>
    <w:p w:rsidR="009965DF" w:rsidRDefault="009965DF" w:rsidP="009965DF">
      <w:proofErr w:type="gramStart"/>
      <w:r>
        <w:t>В соответствии с частью 29 статьи 44 Закона № 44-ФЗ постановлением Правительства Российской Федерации от 30.05.2018 № 626 (далее - Правила) установлен порядок взаимодействия участника закупки, оператора электронной площадки и заказчика в случае предоставления участником закупки банковской гарантии в качестве обеспечения заявки на участие в открытом конкурсе в электронной форме, конкурсе с ограниченным участием в электронной форме, двухэтапном конкурсе в электронной форме, электронном</w:t>
      </w:r>
      <w:proofErr w:type="gramEnd"/>
      <w:r>
        <w:t xml:space="preserve"> </w:t>
      </w:r>
      <w:proofErr w:type="gramStart"/>
      <w:r>
        <w:t>аукционе</w:t>
      </w:r>
      <w:proofErr w:type="gramEnd"/>
      <w:r>
        <w:t xml:space="preserve">. </w:t>
      </w:r>
    </w:p>
    <w:p w:rsidR="009965DF" w:rsidRDefault="009965DF" w:rsidP="009965DF">
      <w:proofErr w:type="gramStart"/>
      <w:r>
        <w:t xml:space="preserve">На основании пунктов 3 и 4 Правил оператор электронной площадки в целях установления наличия банковской гарантии в реестре банковских гарантий осуществляет взаимодействие с реестром банковских гарантий в соответствии с требованиями, установленными в соответствии с частью 2 статьи 24.1 Закона № 44-ФЗ, и при направлении вторых частей заявок на участие в </w:t>
      </w:r>
      <w:r>
        <w:lastRenderedPageBreak/>
        <w:t>электронной процедуре посредством аппаратно-программного комплекса электронной площадки направляет заказчику информацию об</w:t>
      </w:r>
      <w:proofErr w:type="gramEnd"/>
      <w:r>
        <w:t xml:space="preserve"> уникальном номере реестровой записи из реестра банковских гарантий, </w:t>
      </w:r>
      <w:proofErr w:type="gramStart"/>
      <w:r>
        <w:t>предоставленную</w:t>
      </w:r>
      <w:proofErr w:type="gramEnd"/>
      <w:r>
        <w:t xml:space="preserve"> соответствующим участником закупки. </w:t>
      </w:r>
    </w:p>
    <w:p w:rsidR="009965DF" w:rsidRDefault="009965DF" w:rsidP="009965DF">
      <w:r>
        <w:t xml:space="preserve">Примечание. </w:t>
      </w:r>
    </w:p>
    <w:p w:rsidR="009965DF" w:rsidRDefault="009965DF" w:rsidP="009965DF">
      <w:r>
        <w:t xml:space="preserve">В тексте документа, видимо, допущена опечатка: имеется в виду часть 5 статьи 45 Федерального закона от 05.04.2013 № 44-ФЗ, а не часть 5 статьи 44. </w:t>
      </w:r>
    </w:p>
    <w:p w:rsidR="009965DF" w:rsidRDefault="009965DF" w:rsidP="009965DF">
      <w:r>
        <w:t xml:space="preserve">Согласно части 5 статьи 44 Закона № 44-ФЗ заказчик рассматривает поступившую банковскую гарантию в срок, не превышающий трех рабочих дней со дня ее поступления. </w:t>
      </w:r>
    </w:p>
    <w:p w:rsidR="009965DF" w:rsidRDefault="009965DF" w:rsidP="009965DF">
      <w:r>
        <w:t xml:space="preserve">Таким образом, заказчик рассматривает банковскую гарантию, направленную в установленном Правилами порядке оператором электронной площадки посредством аппаратно-программного комплекса электронной площадки, в срок, не превышающий трех рабочих дней со дня ее поступления. </w:t>
      </w:r>
    </w:p>
    <w:p w:rsidR="009965DF" w:rsidRDefault="009965DF" w:rsidP="009965DF">
      <w:r>
        <w:t xml:space="preserve">При этом Минфин России отмечает, что согласно статье 191 Гражданского кодекса Российской Федерации (далее - ГК РФ) течение срока, определенного периодом времени, начинается на следующий день после календарной даты или наступления события, которыми определено его начало. </w:t>
      </w:r>
    </w:p>
    <w:p w:rsidR="009965DF" w:rsidRDefault="009965DF" w:rsidP="009965DF">
      <w:r>
        <w:t xml:space="preserve">3. По вопросу постановки на учет банковских гарантий Минфин России сообщает, что позиция по указанному вопросу будет направлена в адрес </w:t>
      </w:r>
      <w:proofErr w:type="spellStart"/>
      <w:r>
        <w:t>Минцифры</w:t>
      </w:r>
      <w:proofErr w:type="spellEnd"/>
      <w:r>
        <w:t xml:space="preserve"> России дополнительно. </w:t>
      </w:r>
    </w:p>
    <w:p w:rsidR="009965DF" w:rsidRDefault="009965DF" w:rsidP="009965DF">
      <w:r>
        <w:t xml:space="preserve">4. По вопросу о возможности уплаты неустойки за ненадлежащее исполнение (неисполнение) основного обязательства по контракту за счет банковской гарантии Минфин России сообщает следующее. </w:t>
      </w:r>
    </w:p>
    <w:p w:rsidR="009965DF" w:rsidRDefault="009965DF" w:rsidP="009965DF">
      <w:r>
        <w:t xml:space="preserve">В соответствии с положениями статьи 34 Закона № 44-ФЗ заказчик обязан в случае несоблюдения исполнения обязательств по государственному контракту потребовать выплаты неустойки (штрафов, пеней) за просрочку исполнения поставщиком обязательства, предусмотренного государственным контрактом. </w:t>
      </w:r>
    </w:p>
    <w:p w:rsidR="009965DF" w:rsidRDefault="009965DF" w:rsidP="009965DF">
      <w:proofErr w:type="gramStart"/>
      <w:r>
        <w:t>Вместе с тем в соответствии с частью 3 статьи 96 Закона № 44-ФЗ исполнение контракта, гарантийные обязательства могут обеспечиваться предоставлением банковской гарантии, выданной банком и соответствующей требованиям статьи 45 Закона № 44-ФЗ,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</w:t>
      </w:r>
      <w:proofErr w:type="gramEnd"/>
      <w:r>
        <w:t xml:space="preserve"> Способ обеспечения исполнения контракта, гарантийных обязательств, срок действия банковской гарантии определяются в соответствии с требованиями Закона № 44-ФЗ участником закупки, с которым заключается контракт, самостоятельно. При этом срок действия банковской гарантии должен превышать предусмотренный контрактом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статьей 95 Закона № 44-ФЗ. </w:t>
      </w:r>
    </w:p>
    <w:p w:rsidR="009965DF" w:rsidRDefault="009965DF" w:rsidP="009965DF">
      <w:r>
        <w:t xml:space="preserve">Примечание. </w:t>
      </w:r>
    </w:p>
    <w:p w:rsidR="009965DF" w:rsidRDefault="009965DF" w:rsidP="009965DF">
      <w:r>
        <w:t xml:space="preserve">На момент издания данного документа часть 2 статьи 45 Федерального закона от 05.04.2013 № 44-ФЗ изложена в новой редакции. </w:t>
      </w:r>
    </w:p>
    <w:p w:rsidR="009965DF" w:rsidRDefault="009965DF" w:rsidP="009965DF">
      <w:r>
        <w:t xml:space="preserve">Согласно части 2 статьи 45 Закона № 44-ФЗ банковская гарантия должна быть безотзывной и должна </w:t>
      </w:r>
      <w:proofErr w:type="gramStart"/>
      <w:r>
        <w:t>содержать</w:t>
      </w:r>
      <w:proofErr w:type="gramEnd"/>
      <w:r>
        <w:t xml:space="preserve"> в том числе сумму банковской гарантии, подлежащую уплате гарантом заказчику в установленных частью 13 статьи 44 Закона № 44-ФЗ случаях, или сумму банковской </w:t>
      </w:r>
      <w:r>
        <w:lastRenderedPageBreak/>
        <w:t xml:space="preserve">гарантии, подлежащую уплате гарантом заказчику в случае ненадлежащего исполнения обязательств принципалом в соответствии со статьей 96 Закона № 44-ФЗ. </w:t>
      </w:r>
    </w:p>
    <w:p w:rsidR="009965DF" w:rsidRDefault="009965DF" w:rsidP="009965DF">
      <w:r>
        <w:t xml:space="preserve">Так, банковская гарантия должна быть безотзывной и содержать обязательства принципала, надлежащее исполнение которых обеспечивается банковской гарантией (часть 2 статьи 45 Закона № 44-ФЗ). </w:t>
      </w:r>
    </w:p>
    <w:p w:rsidR="009965DF" w:rsidRDefault="009965DF" w:rsidP="009965DF">
      <w:r>
        <w:t xml:space="preserve">В соответствии с частью 1 статьи 329 ГК РФ исполнение обязательств может обеспечиваться неустойкой, залогом, удержанием вещи должника, поручительством, независимой гарантией, задатком, обеспечительным платежом и другими способами, предусмотренными законом или договором. </w:t>
      </w:r>
    </w:p>
    <w:p w:rsidR="009965DF" w:rsidRDefault="009965DF" w:rsidP="009965DF">
      <w:r>
        <w:t xml:space="preserve">Таким образом, банковская гарантия и неустойка являются равными и независимыми друг от друга способами обеспечения обязательства, предусмотренного контрактом, которые имеют собственный алгоритм расчета размера суммы выплат и механизм реализации при возникновении ситуации, когда произошло ненадлежащее исполнение или неисполнение обязательства, предусмотренного контрактом. </w:t>
      </w:r>
    </w:p>
    <w:p w:rsidR="009965DF" w:rsidRDefault="009965DF" w:rsidP="009965DF">
      <w:r>
        <w:t xml:space="preserve">Также следует отметить, что согласно части 4 статьи 368 ГК РФ в независимую гарантию (банковскую гарантию) включается основное обязательство, исполнение по которому обеспечивается гарантией. Соответственно, банковская гарантия является способом обеспечения основного обязательства. </w:t>
      </w:r>
    </w:p>
    <w:p w:rsidR="009965DF" w:rsidRDefault="009965DF" w:rsidP="009965DF">
      <w:r>
        <w:t>При этом</w:t>
      </w:r>
      <w:proofErr w:type="gramStart"/>
      <w:r>
        <w:t>,</w:t>
      </w:r>
      <w:proofErr w:type="gramEnd"/>
      <w:r>
        <w:t xml:space="preserve"> по мнению Минфина России, обязательство по выплате неустойки не является основным обязательством, а вытекает из него. </w:t>
      </w:r>
    </w:p>
    <w:p w:rsidR="008A33D9" w:rsidRDefault="009965DF" w:rsidP="009965DF">
      <w:r>
        <w:t>Учитывая изложенное, Минфин России приходит к выводу, что неустойка не может быть уплачена за счет средств банковской гарантии, так как является неосновным обязательством по контракту, исполнение которого обеспечено банковской гарантией.</w:t>
      </w:r>
      <w:bookmarkStart w:id="0" w:name="_GoBack"/>
      <w:bookmarkEnd w:id="0"/>
      <w:r w:rsidR="008A33D9">
        <w:t xml:space="preserve">  </w:t>
      </w:r>
    </w:p>
    <w:p w:rsidR="008A33D9" w:rsidRDefault="008A33D9" w:rsidP="008A33D9">
      <w:pPr>
        <w:jc w:val="right"/>
      </w:pPr>
      <w:r>
        <w:t xml:space="preserve">А.М.ЛАВРОВ </w:t>
      </w:r>
    </w:p>
    <w:p w:rsidR="008A33D9" w:rsidRDefault="008A33D9" w:rsidP="008A33D9">
      <w:r>
        <w:t xml:space="preserve">14.09.2020 </w:t>
      </w:r>
    </w:p>
    <w:p w:rsidR="008A33D9" w:rsidRDefault="008A33D9" w:rsidP="008A33D9">
      <w:r>
        <w:t xml:space="preserve">  </w:t>
      </w:r>
    </w:p>
    <w:p w:rsidR="008A33D9" w:rsidRPr="0055673D" w:rsidRDefault="008A33D9" w:rsidP="008A33D9">
      <w:r>
        <w:rPr>
          <w:rFonts w:ascii="Arial" w:hAnsi="Arial" w:cs="Arial"/>
          <w:color w:val="000000"/>
        </w:rPr>
        <w:br/>
      </w:r>
    </w:p>
    <w:p w:rsidR="008A33D9" w:rsidRDefault="008A33D9" w:rsidP="008A33D9"/>
    <w:p w:rsidR="008A33D9" w:rsidRDefault="008A33D9" w:rsidP="008A33D9">
      <w:r>
        <w:t xml:space="preserve">  </w:t>
      </w:r>
    </w:p>
    <w:p w:rsidR="008A33D9" w:rsidRDefault="008A33D9" w:rsidP="008A33D9"/>
    <w:p w:rsidR="008A33D9" w:rsidRDefault="008A33D9" w:rsidP="008A33D9">
      <w:r>
        <w:rPr>
          <w:rFonts w:ascii="Arial" w:hAnsi="Arial" w:cs="Arial"/>
          <w:color w:val="000000"/>
        </w:rPr>
        <w:br/>
      </w:r>
    </w:p>
    <w:p w:rsidR="00604BAF" w:rsidRDefault="00604BAF"/>
    <w:sectPr w:rsidR="00604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3D9"/>
    <w:rsid w:val="00604BAF"/>
    <w:rsid w:val="008A33D9"/>
    <w:rsid w:val="0099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3D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33D9"/>
    <w:rPr>
      <w:color w:val="0000FF"/>
      <w:u w:val="single"/>
    </w:rPr>
  </w:style>
  <w:style w:type="character" w:customStyle="1" w:styleId="blk">
    <w:name w:val="blk"/>
    <w:basedOn w:val="a0"/>
    <w:rsid w:val="008A33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3D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33D9"/>
    <w:rPr>
      <w:color w:val="0000FF"/>
      <w:u w:val="single"/>
    </w:rPr>
  </w:style>
  <w:style w:type="character" w:customStyle="1" w:styleId="blk">
    <w:name w:val="blk"/>
    <w:basedOn w:val="a0"/>
    <w:rsid w:val="008A3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1152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2022-05-13T06:04:00Z</dcterms:created>
  <dcterms:modified xsi:type="dcterms:W3CDTF">2022-05-13T07:48:00Z</dcterms:modified>
</cp:coreProperties>
</file>