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63192" w14:textId="77777777" w:rsidR="00860EF3" w:rsidRPr="00860EF3" w:rsidRDefault="00860EF3" w:rsidP="00860E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0EF3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54147448" w14:textId="77777777" w:rsidR="00860EF3" w:rsidRPr="00860EF3" w:rsidRDefault="00860EF3" w:rsidP="00860E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0EF3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2FBDC36D" w14:textId="19D297E6" w:rsidR="00860EF3" w:rsidRPr="00860EF3" w:rsidRDefault="00860EF3" w:rsidP="00860E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0EF3">
        <w:rPr>
          <w:rFonts w:ascii="Times New Roman" w:hAnsi="Times New Roman" w:cs="Times New Roman"/>
          <w:b/>
          <w:bCs/>
          <w:sz w:val="24"/>
          <w:szCs w:val="24"/>
        </w:rPr>
        <w:t xml:space="preserve">от 8 апреля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860EF3">
        <w:rPr>
          <w:rFonts w:ascii="Times New Roman" w:hAnsi="Times New Roman" w:cs="Times New Roman"/>
          <w:b/>
          <w:bCs/>
          <w:sz w:val="24"/>
          <w:szCs w:val="24"/>
        </w:rPr>
        <w:t xml:space="preserve"> 24-02-06/</w:t>
      </w:r>
      <w:bookmarkStart w:id="0" w:name="_Hlk107339372"/>
      <w:bookmarkStart w:id="1" w:name="_GoBack"/>
      <w:r w:rsidRPr="00860EF3">
        <w:rPr>
          <w:rFonts w:ascii="Times New Roman" w:hAnsi="Times New Roman" w:cs="Times New Roman"/>
          <w:b/>
          <w:bCs/>
          <w:sz w:val="24"/>
          <w:szCs w:val="24"/>
        </w:rPr>
        <w:t>27878</w:t>
      </w:r>
      <w:bookmarkEnd w:id="0"/>
      <w:bookmarkEnd w:id="1"/>
      <w:r w:rsidRPr="00860E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BE3FD1" w14:textId="04FDA77A" w:rsidR="00860EF3" w:rsidRPr="00860EF3" w:rsidRDefault="00860EF3" w:rsidP="00860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6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возможности заключения контрактов с несколькими участниками закупки при проведении открытого конкурса в электронной форме на закупку технических средств реабилитации</w:t>
      </w:r>
      <w:r w:rsidRPr="0086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64B385E" w14:textId="77777777" w:rsidR="00860EF3" w:rsidRPr="00860EF3" w:rsidRDefault="00860EF3" w:rsidP="00860E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79BC2" w14:textId="11C23A89" w:rsidR="00860EF3" w:rsidRPr="00860EF3" w:rsidRDefault="00860EF3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  Минфин России, рассмотрев обращение от 11.03.2020 по вопросу о порядке определения нескольких победителей закупки в соответствии с положениями Федерального </w:t>
      </w:r>
      <w:r w:rsidRPr="00860EF3">
        <w:rPr>
          <w:rFonts w:ascii="Times New Roman" w:hAnsi="Times New Roman" w:cs="Times New Roman"/>
          <w:sz w:val="24"/>
          <w:szCs w:val="24"/>
        </w:rPr>
        <w:t>закона</w:t>
      </w:r>
      <w:r w:rsidRPr="00860EF3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0EF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 </w:t>
      </w:r>
    </w:p>
    <w:p w14:paraId="0B1F3F37" w14:textId="7F92CEB2" w:rsidR="00860EF3" w:rsidRPr="00860EF3" w:rsidRDefault="00860EF3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860EF3">
        <w:rPr>
          <w:rFonts w:ascii="Times New Roman" w:hAnsi="Times New Roman" w:cs="Times New Roman"/>
          <w:sz w:val="24"/>
          <w:szCs w:val="24"/>
        </w:rPr>
        <w:t>пунктом 12.5</w:t>
      </w:r>
      <w:r w:rsidRPr="00860EF3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0EF3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48C8DD5F" w14:textId="77777777" w:rsidR="00860EF3" w:rsidRPr="00860EF3" w:rsidRDefault="00860EF3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Вместе с тем Минфин России считает возможным по изложенному в Обращении вопросу сообщить следующее. </w:t>
      </w:r>
    </w:p>
    <w:p w14:paraId="5CE16EC9" w14:textId="4775B748" w:rsidR="00860EF3" w:rsidRPr="00860EF3" w:rsidRDefault="00860EF3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860EF3">
        <w:rPr>
          <w:rFonts w:ascii="Times New Roman" w:hAnsi="Times New Roman" w:cs="Times New Roman"/>
          <w:sz w:val="24"/>
          <w:szCs w:val="24"/>
        </w:rPr>
        <w:t>пунктом 4 части 1 статьи 3</w:t>
      </w:r>
      <w:r w:rsidRPr="00860EF3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участником закупки является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</w:t>
      </w:r>
      <w:r w:rsidRPr="00860EF3">
        <w:rPr>
          <w:rFonts w:ascii="Times New Roman" w:hAnsi="Times New Roman" w:cs="Times New Roman"/>
          <w:sz w:val="24"/>
          <w:szCs w:val="24"/>
        </w:rPr>
        <w:t>подпунктом 1 пункта 3 статьи 284</w:t>
      </w:r>
      <w:r w:rsidRPr="00860EF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 </w:t>
      </w:r>
    </w:p>
    <w:p w14:paraId="4F63F6BA" w14:textId="77777777" w:rsidR="00860EF3" w:rsidRPr="00860EF3" w:rsidRDefault="00860EF3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Таким образом, на стороне участника закупки может выступать только юридическое или физическое лицо в единственном числе. </w:t>
      </w:r>
    </w:p>
    <w:p w14:paraId="48FD1204" w14:textId="77777777" w:rsidR="00860EF3" w:rsidRPr="00860EF3" w:rsidRDefault="00860EF3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По общему правилу контракт по результатам конкретной закупки заключается между двумя сторонами - заказчиком и победителем закупочной процедуры (поставщиком, подрядчиком, исполнителем). При этом победителем может быть лишь один участник закупки, остальные участники распределяют между собой последующие места. </w:t>
      </w:r>
    </w:p>
    <w:p w14:paraId="2FA8F221" w14:textId="6CDDB7D9" w:rsidR="00860EF3" w:rsidRPr="00860EF3" w:rsidRDefault="00860EF3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Вместе с тем согласно положениям </w:t>
      </w:r>
      <w:r w:rsidRPr="00860EF3">
        <w:rPr>
          <w:rFonts w:ascii="Times New Roman" w:hAnsi="Times New Roman" w:cs="Times New Roman"/>
          <w:sz w:val="24"/>
          <w:szCs w:val="24"/>
        </w:rPr>
        <w:t>части 10 статьи 34</w:t>
      </w:r>
      <w:r w:rsidRPr="00860EF3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допускается заключение контрактов на поставки технических средств реабилитации инвалидов, создание нескольких произведений литературы или искусства, выполнение научно-исследовательских работ либо оказание услуг в сфере образования или услуг по санаторно-курортному лечению и оздоровлению, услуг по организации отдыха детей и их оздоровления, в том числе по предоставлению путевок, с несколькими участниками закупки. При этом право заключения контракта с несколькими участниками закупки устанавливается заказчиком в документации о закупке. </w:t>
      </w:r>
    </w:p>
    <w:p w14:paraId="7F5DAB2F" w14:textId="73F4BB68" w:rsidR="00860EF3" w:rsidRPr="00860EF3" w:rsidRDefault="00860EF3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lastRenderedPageBreak/>
        <w:t xml:space="preserve">По мнению Минфина России, возможность заключения контракта с несколькими участниками закупки, установленная </w:t>
      </w:r>
      <w:r w:rsidRPr="00860EF3">
        <w:rPr>
          <w:rFonts w:ascii="Times New Roman" w:hAnsi="Times New Roman" w:cs="Times New Roman"/>
          <w:sz w:val="24"/>
          <w:szCs w:val="24"/>
        </w:rPr>
        <w:t>частью 10 статьи 34</w:t>
      </w:r>
      <w:r w:rsidRPr="00860EF3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системе, предусматривает заключение нескольких контрактов по одному предмету, а не консолидацию нескольких лиц на стороне одного участника. </w:t>
      </w:r>
    </w:p>
    <w:p w14:paraId="477D2A0D" w14:textId="194E0313" w:rsidR="00860EF3" w:rsidRPr="00860EF3" w:rsidRDefault="00860EF3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</w:t>
      </w:r>
      <w:r w:rsidRPr="00860EF3">
        <w:rPr>
          <w:rFonts w:ascii="Times New Roman" w:hAnsi="Times New Roman" w:cs="Times New Roman"/>
          <w:sz w:val="24"/>
          <w:szCs w:val="24"/>
        </w:rPr>
        <w:t>пункта 6 части 1 статьи 54.3</w:t>
      </w:r>
      <w:r w:rsidRPr="00860EF3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конкурсная документация наряду с информацией, указанной в извещении о проведении открытого конкурса в электронной форме, должна содержать информацию о возможности заказчика заключить контракты, указанные в </w:t>
      </w:r>
      <w:r w:rsidRPr="00860EF3">
        <w:rPr>
          <w:rFonts w:ascii="Times New Roman" w:hAnsi="Times New Roman" w:cs="Times New Roman"/>
          <w:sz w:val="24"/>
          <w:szCs w:val="24"/>
        </w:rPr>
        <w:t>части 10 статьи 34</w:t>
      </w:r>
      <w:r w:rsidRPr="00860EF3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системе, с несколькими участниками закупки в отношении одного предмета и с одними и теми же условиями контракта, указанными в конкурсной документации, с указанием количества указанных контрактов. В этом случае в качестве начальной (максимальной) цены контракта указывается начальная (максимальная) цена одного контракта. При этом начальная (максимальная) цена всех контрактов на выполнение поисковых научно-исследовательских работ является одинаковой и их общая начальная (максимальная) цена равняется сумме начальных (максимальных) цен всех таких контрактов. </w:t>
      </w:r>
    </w:p>
    <w:p w14:paraId="27C317DB" w14:textId="1D694DB1" w:rsidR="00860EF3" w:rsidRPr="00860EF3" w:rsidRDefault="00860EF3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860EF3">
        <w:rPr>
          <w:rFonts w:ascii="Times New Roman" w:hAnsi="Times New Roman" w:cs="Times New Roman"/>
          <w:sz w:val="24"/>
          <w:szCs w:val="24"/>
        </w:rPr>
        <w:t>части 15 статьи 54.7</w:t>
      </w:r>
      <w:r w:rsidRPr="00860EF3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системе, если конкурсной документацией предусмотрено право заказчика заключить контракты с несколькими участниками открытого конкурса в электронной форме в случаях, указанных в </w:t>
      </w:r>
      <w:r w:rsidRPr="00860EF3">
        <w:rPr>
          <w:rFonts w:ascii="Times New Roman" w:hAnsi="Times New Roman" w:cs="Times New Roman"/>
          <w:sz w:val="24"/>
          <w:szCs w:val="24"/>
        </w:rPr>
        <w:t>части 10 статьи 34</w:t>
      </w:r>
      <w:r w:rsidRPr="00860EF3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системе, заказчик присваивает первый номер нескольким заявкам на участие в открытом конкурсе в электронной форме, содержащим лучшие условия исполнения контракта. При этом число заявок на участие в открытом конкурсе в электронной форме, которым присвоен первый номер, не должно превышать количество таких контрактов, указанное в конкурсной документации. </w:t>
      </w:r>
    </w:p>
    <w:p w14:paraId="0276EBF4" w14:textId="44B42037" w:rsidR="00860EF3" w:rsidRPr="00860EF3" w:rsidRDefault="00860EF3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Учитывая изложенное, при проведении открытого конкурса в электронной форме на закупку технических средств реабилитации заказчик вправе предусмотреть в документации о закупке возможность заключения контрактов с несколькими участниками закупки. При этом порядок определения победителями нескольких участников и порядок заключения контрактов с такими участниками определены положениями </w:t>
      </w:r>
      <w:r w:rsidRPr="00860EF3">
        <w:rPr>
          <w:rFonts w:ascii="Times New Roman" w:hAnsi="Times New Roman" w:cs="Times New Roman"/>
          <w:sz w:val="24"/>
          <w:szCs w:val="24"/>
        </w:rPr>
        <w:t>Закона</w:t>
      </w:r>
      <w:r w:rsidRPr="00860EF3">
        <w:rPr>
          <w:rFonts w:ascii="Times New Roman" w:hAnsi="Times New Roman" w:cs="Times New Roman"/>
          <w:sz w:val="24"/>
          <w:szCs w:val="24"/>
        </w:rPr>
        <w:t xml:space="preserve"> о контрактной системе. </w:t>
      </w:r>
    </w:p>
    <w:p w14:paraId="27469661" w14:textId="77777777" w:rsidR="00860EF3" w:rsidRPr="00860EF3" w:rsidRDefault="00860EF3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A03DD8F" w14:textId="77777777" w:rsidR="00860EF3" w:rsidRPr="00860EF3" w:rsidRDefault="00860EF3" w:rsidP="00860EF3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А.М.ЛАВРОВ </w:t>
      </w:r>
    </w:p>
    <w:p w14:paraId="61578B04" w14:textId="77777777" w:rsidR="00860EF3" w:rsidRPr="00860EF3" w:rsidRDefault="00860EF3" w:rsidP="00860EF3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08.04.2020 </w:t>
      </w:r>
    </w:p>
    <w:p w14:paraId="767D1102" w14:textId="77777777" w:rsidR="00860EF3" w:rsidRPr="00860EF3" w:rsidRDefault="00860EF3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EF3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0FE02B0" w14:textId="77777777" w:rsidR="006D32F1" w:rsidRPr="00860EF3" w:rsidRDefault="006D32F1" w:rsidP="00860EF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860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60EF3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EF3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59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2022-06-28T15:09:00Z</dcterms:created>
  <dcterms:modified xsi:type="dcterms:W3CDTF">2022-06-28T15:09:00Z</dcterms:modified>
</cp:coreProperties>
</file>