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1405" w:firstLineChars="583"/>
        <w:jc w:val="center"/>
        <w:rPr>
          <w:rFonts w:hint="default" w:ascii="Times New Roman" w:hAnsi="Times New Roman"/>
          <w:b/>
          <w:bCs/>
          <w:color w:val="auto"/>
          <w:sz w:val="24"/>
          <w:szCs w:val="24"/>
        </w:rPr>
      </w:pPr>
      <w:bookmarkStart w:id="0" w:name="_GoBack"/>
      <w:r>
        <w:rPr>
          <w:rFonts w:hint="default" w:ascii="Times New Roman" w:hAnsi="Times New Roman"/>
          <w:b/>
          <w:bCs/>
          <w:color w:val="auto"/>
          <w:sz w:val="24"/>
          <w:szCs w:val="24"/>
        </w:rPr>
        <w:t>МИНИСТЕРСТВО ФИНАНСОВ РОССИЙСКОЙ ФЕДЕРАЦИИ</w:t>
      </w:r>
    </w:p>
    <w:p>
      <w:pPr>
        <w:spacing w:line="240" w:lineRule="auto"/>
        <w:ind w:left="0" w:leftChars="0" w:firstLine="1405" w:firstLineChars="583"/>
        <w:jc w:val="center"/>
        <w:rPr>
          <w:rFonts w:hint="default" w:ascii="Times New Roman" w:hAnsi="Times New Roman"/>
          <w:b/>
          <w:bCs/>
          <w:color w:val="auto"/>
          <w:sz w:val="24"/>
          <w:szCs w:val="24"/>
        </w:rPr>
      </w:pPr>
    </w:p>
    <w:p>
      <w:pPr>
        <w:spacing w:line="240" w:lineRule="auto"/>
        <w:ind w:left="0" w:leftChars="0" w:firstLine="1405" w:firstLineChars="583"/>
        <w:jc w:val="center"/>
        <w:rPr>
          <w:rFonts w:hint="default" w:ascii="Times New Roman" w:hAnsi="Times New Roman"/>
          <w:b/>
          <w:bCs/>
          <w:color w:val="auto"/>
          <w:sz w:val="24"/>
          <w:szCs w:val="24"/>
        </w:rPr>
      </w:pPr>
      <w:r>
        <w:rPr>
          <w:rFonts w:hint="default" w:ascii="Times New Roman" w:hAnsi="Times New Roman"/>
          <w:b/>
          <w:bCs/>
          <w:color w:val="auto"/>
          <w:sz w:val="24"/>
          <w:szCs w:val="24"/>
        </w:rPr>
        <w:t>ПИСЬМО</w:t>
      </w:r>
    </w:p>
    <w:p>
      <w:pPr>
        <w:spacing w:line="240" w:lineRule="auto"/>
        <w:ind w:left="0" w:leftChars="0" w:firstLine="1405" w:firstLineChars="583"/>
        <w:jc w:val="center"/>
        <w:rPr>
          <w:rFonts w:hint="default" w:ascii="Times New Roman" w:hAnsi="Times New Roman"/>
          <w:b/>
          <w:bCs/>
          <w:color w:val="auto"/>
          <w:sz w:val="24"/>
          <w:szCs w:val="24"/>
        </w:rPr>
      </w:pPr>
      <w:r>
        <w:rPr>
          <w:rFonts w:hint="default" w:ascii="Times New Roman" w:hAnsi="Times New Roman"/>
          <w:b/>
          <w:bCs/>
          <w:color w:val="auto"/>
          <w:sz w:val="24"/>
          <w:szCs w:val="24"/>
        </w:rPr>
        <w:t>от 29 сентября 2017 г. N 24-02-05/64052</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Департамент бюджетной политики в сфере контрактной системы Минфина России (далее - Департамент), рассмотрев обращение от 21.08.2017 по вопросу о применении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части порядка осуществления закупки на оказание услуг по обращению с твердыми коммунальными отходами, сообщает следующее.</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Согласно части 1 статьи 24 Закона о контрактной системе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Частью 5 статьи 24 Закона о контрактной системе установлено, что заказчик самостоятельно выбирает способ определения поставщика (подрядчика, исполнителя) в соответствии с положениями главы 3 Закона о контрактной системе. При этом он не вправе совершать действия, влекущие за собой необоснованное сокращение числа участников закупки.</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Перечень случаев для осуществления закупки у единственного поставщика (подрядчика, исполнителя) установлен частью 1 статьи 93 Закона о контрактной системе и является исчерпывающим.</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В соответствии с пунктом 23 части 1 статьи 93 Закона о контрактной системе закупка у единственного поставщика (подрядчика, исполнителя) может осуществляться заказчиком в случае заключения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Таким образом, на основании пункта 23 части 1 статьи 93 Закона о контрактной системе заказчик вправе заключить контракт при наличии в совокупности двух условий:</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организация уже оказывает услуги по содержанию и ремонту помещения, услуги по водо-, тепло-, газо- и энергоснабжению, услуги по охране или услуги по вывозу бытовых отходов одному или нескольким лицам, которые пользуются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контракт с такой организацией заключается исключительно на услуги, указанные в пункте 23 части 1 статьи 93 Закона о контрактной системе, которые уже оказываются другому лицу или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Кроме того, в соответствии с пунктом 4 части 1 статьи 93 Закона о контрактной системе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пункта 4 части 1 статьи 93 Закона о контрактной системе, не применяются в отношении закупок, осуществляемых заказчиками для обеспечения муниципальных нужд сельских поселений.</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Таким образом, на основании пункта 4 части 1 статьи 93 Закона о контрактной системе заказчик вправе заключать договоры, цена каждого из которых не должна превышать ста тысяч рублей, при этом годовой объем таких закупок заказчика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w:t>
      </w:r>
    </w:p>
    <w:p>
      <w:pPr>
        <w:spacing w:line="240" w:lineRule="auto"/>
        <w:ind w:left="0" w:leftChars="0" w:firstLine="1399" w:firstLineChars="583"/>
        <w:jc w:val="right"/>
        <w:rPr>
          <w:rFonts w:hint="default" w:ascii="Times New Roman" w:hAnsi="Times New Roman"/>
          <w:color w:val="auto"/>
          <w:sz w:val="24"/>
          <w:szCs w:val="24"/>
        </w:rPr>
      </w:pPr>
      <w:r>
        <w:rPr>
          <w:rFonts w:hint="default" w:ascii="Times New Roman" w:hAnsi="Times New Roman"/>
          <w:color w:val="auto"/>
          <w:sz w:val="24"/>
          <w:szCs w:val="24"/>
        </w:rPr>
        <w:t>Директор Департамента</w:t>
      </w:r>
    </w:p>
    <w:p>
      <w:pPr>
        <w:spacing w:line="240" w:lineRule="auto"/>
        <w:ind w:left="0" w:leftChars="0" w:firstLine="1399" w:firstLineChars="583"/>
        <w:jc w:val="right"/>
        <w:rPr>
          <w:rFonts w:hint="default" w:ascii="Times New Roman" w:hAnsi="Times New Roman"/>
          <w:color w:val="auto"/>
          <w:sz w:val="24"/>
          <w:szCs w:val="24"/>
        </w:rPr>
      </w:pPr>
      <w:r>
        <w:rPr>
          <w:rFonts w:hint="default" w:ascii="Times New Roman" w:hAnsi="Times New Roman"/>
          <w:color w:val="auto"/>
          <w:sz w:val="24"/>
          <w:szCs w:val="24"/>
        </w:rPr>
        <w:t>Т.П.ДЕМИДОВА</w:t>
      </w:r>
    </w:p>
    <w:p>
      <w:pPr>
        <w:spacing w:line="240" w:lineRule="auto"/>
        <w:ind w:left="0" w:leftChars="0" w:firstLine="1399" w:firstLineChars="583"/>
        <w:jc w:val="right"/>
        <w:rPr>
          <w:rFonts w:hint="default" w:ascii="Times New Roman" w:hAnsi="Times New Roman"/>
          <w:color w:val="auto"/>
          <w:sz w:val="24"/>
          <w:szCs w:val="24"/>
        </w:rPr>
      </w:pPr>
      <w:r>
        <w:rPr>
          <w:rFonts w:hint="default" w:ascii="Times New Roman" w:hAnsi="Times New Roman"/>
          <w:color w:val="auto"/>
          <w:sz w:val="24"/>
          <w:szCs w:val="24"/>
        </w:rPr>
        <w:t>29.09.2017</w:t>
      </w:r>
    </w:p>
    <w:p>
      <w:pPr>
        <w:spacing w:line="240" w:lineRule="auto"/>
        <w:ind w:left="0" w:leftChars="0" w:firstLine="1399" w:firstLineChars="583"/>
        <w:jc w:val="right"/>
        <w:rPr>
          <w:rFonts w:hint="default" w:ascii="Times New Roman" w:hAnsi="Times New Roman"/>
          <w:color w:val="auto"/>
          <w:sz w:val="24"/>
          <w:szCs w:val="24"/>
        </w:rPr>
      </w:pPr>
      <w:r>
        <w:rPr>
          <w:rFonts w:hint="default" w:ascii="Times New Roman" w:hAnsi="Times New Roman"/>
          <w:color w:val="auto"/>
          <w:sz w:val="24"/>
          <w:szCs w:val="24"/>
        </w:rPr>
        <w:t> </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w:t>
      </w: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w:t>
      </w:r>
    </w:p>
    <w:p>
      <w:pPr>
        <w:spacing w:line="240" w:lineRule="auto"/>
        <w:ind w:left="0" w:leftChars="0" w:firstLine="1399" w:firstLineChars="583"/>
        <w:jc w:val="right"/>
        <w:rPr>
          <w:rFonts w:hint="default" w:ascii="Times New Roman" w:hAnsi="Times New Roman"/>
          <w:color w:val="auto"/>
          <w:sz w:val="24"/>
          <w:szCs w:val="24"/>
        </w:rPr>
      </w:pPr>
    </w:p>
    <w:p>
      <w:pPr>
        <w:spacing w:line="240" w:lineRule="auto"/>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w:t>
      </w:r>
    </w:p>
    <w:p>
      <w:pPr>
        <w:spacing w:line="240" w:lineRule="auto"/>
        <w:ind w:left="0" w:leftChars="0" w:firstLine="1399" w:firstLineChars="583"/>
        <w:jc w:val="both"/>
        <w:rPr>
          <w:rFonts w:hint="default" w:ascii="Times New Roman" w:hAnsi="Times New Roman" w:cs="Times New Roman"/>
          <w:color w:val="auto"/>
          <w:sz w:val="24"/>
          <w:szCs w:val="24"/>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7153F"/>
    <w:rsid w:val="0F533637"/>
    <w:rsid w:val="14913083"/>
    <w:rsid w:val="52FE668C"/>
    <w:rsid w:val="7DE7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character" w:styleId="6">
    <w:name w:val="Strong"/>
    <w:basedOn w:val="3"/>
    <w:qFormat/>
    <w:uiPriority w:val="0"/>
    <w:rPr>
      <w:b/>
      <w:b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115</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2022-12-26T03:50:00Z</dcterms:created>
  <dc:creator>rahma</dc:creator>
  <cp:lastModifiedBy>rahma</cp:lastModifiedBy>
  <dcterms:modified xsi:type="dcterms:W3CDTF">2022-12-26T05:46:39Z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7C3ECA7C2A2E42EAA5C9BC51D99D53EB</vt:lpwstr>
  </property>
</Properties>
</file>