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1002" w:firstLineChars="416"/>
        <w:jc w:val="center"/>
        <w:rPr>
          <w:rFonts w:hint="default" w:ascii="Times New Roman" w:hAnsi="Times New Roman"/>
          <w:b/>
          <w:bCs/>
          <w:color w:val="auto"/>
          <w:sz w:val="24"/>
          <w:szCs w:val="24"/>
        </w:rPr>
      </w:pPr>
      <w:r>
        <w:rPr>
          <w:rFonts w:hint="default" w:ascii="Times New Roman" w:hAnsi="Times New Roman"/>
          <w:b/>
          <w:bCs/>
          <w:color w:val="auto"/>
          <w:sz w:val="24"/>
          <w:szCs w:val="24"/>
        </w:rPr>
        <w:t>МИНИСТЕРСТВО ФИНАНСОВ РОССИЙСКОЙ ФЕДЕРАЦИИ</w:t>
      </w:r>
    </w:p>
    <w:p>
      <w:pPr>
        <w:ind w:left="0" w:leftChars="0" w:firstLine="1002" w:firstLineChars="416"/>
        <w:jc w:val="center"/>
        <w:rPr>
          <w:rFonts w:hint="default" w:ascii="Times New Roman" w:hAnsi="Times New Roman"/>
          <w:b/>
          <w:bCs/>
          <w:color w:val="auto"/>
          <w:sz w:val="24"/>
          <w:szCs w:val="24"/>
        </w:rPr>
      </w:pPr>
    </w:p>
    <w:p>
      <w:pPr>
        <w:ind w:left="0" w:leftChars="0" w:firstLine="1002" w:firstLineChars="416"/>
        <w:jc w:val="center"/>
        <w:rPr>
          <w:rFonts w:hint="default" w:ascii="Times New Roman" w:hAnsi="Times New Roman"/>
          <w:b/>
          <w:bCs/>
          <w:color w:val="auto"/>
          <w:sz w:val="24"/>
          <w:szCs w:val="24"/>
        </w:rPr>
      </w:pPr>
      <w:r>
        <w:rPr>
          <w:rFonts w:hint="default" w:ascii="Times New Roman" w:hAnsi="Times New Roman"/>
          <w:b/>
          <w:bCs/>
          <w:color w:val="auto"/>
          <w:sz w:val="24"/>
          <w:szCs w:val="24"/>
        </w:rPr>
        <w:t>ПИСЬМО</w:t>
      </w:r>
    </w:p>
    <w:p>
      <w:pPr>
        <w:ind w:left="0" w:leftChars="0" w:firstLine="1002" w:firstLineChars="416"/>
        <w:jc w:val="center"/>
        <w:rPr>
          <w:rFonts w:hint="default" w:ascii="Times New Roman" w:hAnsi="Times New Roman"/>
          <w:b/>
          <w:bCs/>
          <w:color w:val="auto"/>
          <w:sz w:val="24"/>
          <w:szCs w:val="24"/>
        </w:rPr>
      </w:pPr>
      <w:r>
        <w:rPr>
          <w:rFonts w:hint="default" w:ascii="Times New Roman" w:hAnsi="Times New Roman"/>
          <w:b/>
          <w:bCs/>
          <w:color w:val="auto"/>
          <w:sz w:val="24"/>
          <w:szCs w:val="24"/>
        </w:rPr>
        <w:t xml:space="preserve">от 26 апреля 2023 г. </w:t>
      </w:r>
      <w:r>
        <w:rPr>
          <w:rFonts w:hint="default" w:ascii="Times New Roman" w:hAnsi="Times New Roman"/>
          <w:b/>
          <w:bCs/>
          <w:color w:val="auto"/>
          <w:sz w:val="24"/>
          <w:szCs w:val="24"/>
          <w:lang w:val="ru-RU"/>
        </w:rPr>
        <w:t>№</w:t>
      </w:r>
      <w:r>
        <w:rPr>
          <w:rFonts w:hint="default" w:ascii="Times New Roman" w:hAnsi="Times New Roman"/>
          <w:b/>
          <w:bCs/>
          <w:color w:val="auto"/>
          <w:sz w:val="24"/>
          <w:szCs w:val="24"/>
        </w:rPr>
        <w:t xml:space="preserve"> 02-17-09/38702</w:t>
      </w:r>
    </w:p>
    <w:p>
      <w:pPr>
        <w:ind w:left="0" w:leftChars="0" w:firstLine="998" w:firstLineChars="416"/>
        <w:jc w:val="both"/>
        <w:rPr>
          <w:rFonts w:hint="default" w:ascii="Times New Roman" w:hAnsi="Times New Roman"/>
          <w:color w:val="auto"/>
          <w:sz w:val="24"/>
          <w:szCs w:val="24"/>
        </w:rPr>
      </w:pPr>
      <w:r>
        <w:rPr>
          <w:rFonts w:hint="default" w:ascii="Times New Roman" w:hAnsi="Times New Roman"/>
          <w:color w:val="auto"/>
          <w:sz w:val="24"/>
          <w:szCs w:val="24"/>
        </w:rPr>
        <w:t> </w:t>
      </w:r>
    </w:p>
    <w:p>
      <w:pPr>
        <w:ind w:left="0" w:leftChars="0" w:firstLine="998" w:firstLineChars="416"/>
        <w:jc w:val="both"/>
        <w:rPr>
          <w:rFonts w:hint="default" w:ascii="Times New Roman" w:hAnsi="Times New Roman"/>
          <w:color w:val="auto"/>
          <w:sz w:val="24"/>
          <w:szCs w:val="24"/>
        </w:rPr>
      </w:pPr>
      <w:r>
        <w:rPr>
          <w:rFonts w:hint="default" w:ascii="Times New Roman" w:hAnsi="Times New Roman"/>
          <w:color w:val="auto"/>
          <w:sz w:val="24"/>
          <w:szCs w:val="24"/>
        </w:rPr>
        <w:t>Департамент бюджетной методологии и финансовой отчетности в государственном секторе Министерства финансов Российской Федерации (далее - Департамент) рассмотрел поступившие на официальный сайт Министерства финансов Российской Федерации обращения муниципального казенного учреждения от 31.03.2023</w:t>
      </w:r>
      <w:bookmarkStart w:id="0" w:name="_GoBack"/>
      <w:bookmarkEnd w:id="0"/>
      <w:r>
        <w:rPr>
          <w:rFonts w:hint="default" w:ascii="Times New Roman" w:hAnsi="Times New Roman"/>
          <w:color w:val="auto"/>
          <w:sz w:val="24"/>
          <w:szCs w:val="24"/>
        </w:rPr>
        <w:t xml:space="preserve"> и от 31.03.2023 по вопросу о размерах авансовых платежей, устанавливаемых в муниципальных контрактах, расчеты по которым подлежат казначейскому сопровождению, предметом которых является строительство объектов муниципальной собственности, в целях софинансирования которых предоставляются межбюджетные трансферты из федерального бюджета (далее - муниципальные контракты с сопровождением), и сообщает следующее.</w:t>
      </w:r>
    </w:p>
    <w:p>
      <w:pPr>
        <w:ind w:left="0" w:leftChars="0" w:firstLine="998" w:firstLineChars="416"/>
        <w:jc w:val="both"/>
        <w:rPr>
          <w:rFonts w:hint="default" w:ascii="Times New Roman" w:hAnsi="Times New Roman"/>
          <w:color w:val="auto"/>
          <w:sz w:val="24"/>
          <w:szCs w:val="24"/>
        </w:rPr>
      </w:pPr>
      <w:r>
        <w:rPr>
          <w:rFonts w:hint="default" w:ascii="Times New Roman" w:hAnsi="Times New Roman"/>
          <w:color w:val="auto"/>
          <w:sz w:val="24"/>
          <w:szCs w:val="24"/>
        </w:rPr>
        <w:t>Согласно обращению в 2022 году муниципальным казенным учреждением заключено несколько долгосрочных муниципальных контрактов с сопровождением.</w:t>
      </w:r>
    </w:p>
    <w:p>
      <w:pPr>
        <w:ind w:left="0" w:leftChars="0" w:firstLine="998" w:firstLineChars="416"/>
        <w:jc w:val="both"/>
        <w:rPr>
          <w:rFonts w:hint="default" w:ascii="Times New Roman" w:hAnsi="Times New Roman"/>
          <w:color w:val="auto"/>
          <w:sz w:val="24"/>
          <w:szCs w:val="24"/>
        </w:rPr>
      </w:pPr>
      <w:r>
        <w:rPr>
          <w:rFonts w:hint="default" w:ascii="Times New Roman" w:hAnsi="Times New Roman"/>
          <w:color w:val="auto"/>
          <w:sz w:val="24"/>
          <w:szCs w:val="24"/>
        </w:rPr>
        <w:t xml:space="preserve">Согласно положениям пункта 4 Постановления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348 </w:t>
      </w:r>
      <w:r>
        <w:rPr>
          <w:rFonts w:hint="default" w:ascii="Times New Roman" w:hAnsi="Times New Roman"/>
          <w:color w:val="auto"/>
          <w:sz w:val="24"/>
          <w:szCs w:val="24"/>
        </w:rPr>
        <w:t xml:space="preserve">"О приостановлении действия абзаца четвертого подпункта "а" и подпункта "б" пункта 18 Положения о мерах по обеспечению исполнения федерального бюджета и установлении размеров авансовых платежей при заключении государственных (муниципальных) контрактов в 2023 году" (далее - Постановление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348)</w:t>
      </w:r>
      <w:r>
        <w:rPr>
          <w:rFonts w:hint="default" w:ascii="Times New Roman" w:hAnsi="Times New Roman"/>
          <w:color w:val="auto"/>
          <w:sz w:val="24"/>
          <w:szCs w:val="24"/>
        </w:rPr>
        <w:t xml:space="preserve"> в случае предоставления субсидии (иного межбюджетного трансферта) в целях софинансирования расходных обязательств субъекта Российской Федерации, связанных с предоставлением субсидий (иных межбюджетных трансфертов) из бюджета субъекта Российской Федерации местным бюджетам в целях софинансирования расходных обязательств муниципальных образований, возникающих из муниципальных контрактов, заключаемых в целях реализации решений об осуществлении капитальных вложений в объекты капитального строительства муниципальной собственности, в соглашения о предоставлении таких межбюджетных трансфертов из бюджета субъекта Российской Федерации муниципальному образованию включается обязательство муниципального образования по установлению в указанных муниципальных контрактах, заключаемых в 2023 году, авансовых платежей в размере от 30 до 50 процентов суммы соответствующего муниципального контракта в случае осуществления казначейского сопровождения указанных авансовых платежей, если иные предельные размеры авансовых платежей, превышающие указанный размер, для муниципальных контрактов не установлены нормативными правовыми актами Правительства Российской Федерации (за исключением нормативных правовых актов Правительства Российской Федерации, устанавливающих правила предоставления субсидий), но не более лимитов бюджетных обязательств, доведенных до соответствующих получателей средств федерального бюджета на указанные цели на соответствующий финансовый год. </w:t>
      </w:r>
    </w:p>
    <w:p>
      <w:pPr>
        <w:ind w:left="0" w:leftChars="0" w:firstLine="998" w:firstLineChars="416"/>
        <w:jc w:val="both"/>
        <w:rPr>
          <w:rFonts w:hint="default" w:ascii="Times New Roman" w:hAnsi="Times New Roman"/>
          <w:color w:val="auto"/>
          <w:sz w:val="24"/>
          <w:szCs w:val="24"/>
        </w:rPr>
      </w:pPr>
      <w:r>
        <w:rPr>
          <w:rFonts w:hint="default" w:ascii="Times New Roman" w:hAnsi="Times New Roman"/>
          <w:color w:val="auto"/>
          <w:sz w:val="24"/>
          <w:szCs w:val="24"/>
        </w:rPr>
        <w:t xml:space="preserve">С учетом подходов, определенных в письме Минфина России от 27.05.2021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09-01-06/41150, представляется, что условие, предусмотренное пунктом 4 Постановления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348, подлежит включению только в те муниципальные контракты с сопровождением, извещения об осуществлении закупок товаров, работ, услуг размещены в единой информационной системе в сфере закупок или приглашения принять участие в которых направлены после заключения соглашений о предоставлении межбюджетных трансфертов (дополнительных соглашений к таким соглашениям), предусматривающих обязательство муниципального образования, указанное в пункте 4 Постановления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348.</w:t>
      </w:r>
    </w:p>
    <w:p>
      <w:pPr>
        <w:ind w:left="0" w:leftChars="0" w:firstLine="998" w:firstLineChars="416"/>
        <w:jc w:val="both"/>
        <w:rPr>
          <w:rFonts w:hint="default" w:ascii="Times New Roman" w:hAnsi="Times New Roman"/>
          <w:color w:val="auto"/>
          <w:sz w:val="24"/>
          <w:szCs w:val="24"/>
        </w:rPr>
      </w:pPr>
      <w:r>
        <w:rPr>
          <w:rFonts w:hint="default" w:ascii="Times New Roman" w:hAnsi="Times New Roman"/>
          <w:color w:val="auto"/>
          <w:sz w:val="24"/>
          <w:szCs w:val="24"/>
        </w:rPr>
        <w:t xml:space="preserve">Дополнительно отмечается, что при возникновении в ходе исполнения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независящих от сторон контракта обстоятельств, влекущих невозможность его исполнения, в 2022 - 2023 годах допускаются изменения существенных условий контракта, в том числе в части установления условия о выплате аванса или об изменении установленного размера аванса, на основании Постановления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680 </w:t>
      </w:r>
      <w:r>
        <w:rPr>
          <w:rFonts w:hint="default" w:ascii="Times New Roman" w:hAnsi="Times New Roman"/>
          <w:color w:val="auto"/>
          <w:sz w:val="24"/>
          <w:szCs w:val="24"/>
        </w:rPr>
        <w:t xml:space="preserve">"Об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(далее - Постановление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680)</w:t>
      </w:r>
      <w:r>
        <w:rPr>
          <w:rFonts w:hint="default" w:ascii="Times New Roman" w:hAnsi="Times New Roman"/>
          <w:color w:val="auto"/>
          <w:sz w:val="24"/>
          <w:szCs w:val="24"/>
        </w:rPr>
        <w:t>.</w:t>
      </w:r>
    </w:p>
    <w:p>
      <w:pPr>
        <w:ind w:left="0" w:leftChars="0" w:firstLine="998" w:firstLineChars="416"/>
        <w:jc w:val="both"/>
        <w:rPr>
          <w:rFonts w:hint="default" w:ascii="Times New Roman" w:hAnsi="Times New Roman"/>
          <w:color w:val="auto"/>
          <w:sz w:val="24"/>
          <w:szCs w:val="24"/>
        </w:rPr>
      </w:pPr>
      <w:r>
        <w:rPr>
          <w:rFonts w:hint="default" w:ascii="Times New Roman" w:hAnsi="Times New Roman"/>
          <w:color w:val="auto"/>
          <w:sz w:val="24"/>
          <w:szCs w:val="24"/>
        </w:rPr>
        <w:t> </w:t>
      </w:r>
    </w:p>
    <w:p>
      <w:pPr>
        <w:ind w:left="0" w:leftChars="0" w:firstLine="998" w:firstLineChars="416"/>
        <w:jc w:val="right"/>
        <w:rPr>
          <w:rFonts w:hint="default" w:ascii="Times New Roman" w:hAnsi="Times New Roman"/>
          <w:color w:val="auto"/>
          <w:sz w:val="24"/>
          <w:szCs w:val="24"/>
        </w:rPr>
      </w:pPr>
      <w:r>
        <w:rPr>
          <w:rFonts w:hint="default" w:ascii="Times New Roman" w:hAnsi="Times New Roman"/>
          <w:color w:val="auto"/>
          <w:sz w:val="24"/>
          <w:szCs w:val="24"/>
        </w:rPr>
        <w:t>Директор Департамента</w:t>
      </w:r>
    </w:p>
    <w:p>
      <w:pPr>
        <w:ind w:left="0" w:leftChars="0" w:firstLine="998" w:firstLineChars="416"/>
        <w:jc w:val="right"/>
        <w:rPr>
          <w:rFonts w:hint="default" w:ascii="Times New Roman" w:hAnsi="Times New Roman"/>
          <w:color w:val="auto"/>
          <w:sz w:val="24"/>
          <w:szCs w:val="24"/>
        </w:rPr>
      </w:pPr>
      <w:r>
        <w:rPr>
          <w:rFonts w:hint="default" w:ascii="Times New Roman" w:hAnsi="Times New Roman"/>
          <w:color w:val="auto"/>
          <w:sz w:val="24"/>
          <w:szCs w:val="24"/>
        </w:rPr>
        <w:t>С.В.РОМАНОВ</w:t>
      </w:r>
    </w:p>
    <w:p>
      <w:pPr>
        <w:ind w:left="0" w:leftChars="0" w:firstLine="998" w:firstLineChars="416"/>
        <w:jc w:val="right"/>
        <w:rPr>
          <w:rFonts w:hint="default" w:ascii="Times New Roman" w:hAnsi="Times New Roman"/>
          <w:color w:val="auto"/>
          <w:sz w:val="24"/>
          <w:szCs w:val="24"/>
        </w:rPr>
      </w:pPr>
      <w:r>
        <w:rPr>
          <w:rFonts w:hint="default" w:ascii="Times New Roman" w:hAnsi="Times New Roman"/>
          <w:color w:val="auto"/>
          <w:sz w:val="24"/>
          <w:szCs w:val="24"/>
        </w:rPr>
        <w:t>26.04.2023</w:t>
      </w:r>
    </w:p>
    <w:p>
      <w:pPr>
        <w:ind w:left="0" w:leftChars="0" w:firstLine="998" w:firstLineChars="416"/>
        <w:jc w:val="both"/>
        <w:rPr>
          <w:rFonts w:hint="default" w:ascii="Times New Roman" w:hAnsi="Times New Roman" w:cs="Times New Roman"/>
          <w:color w:val="auto"/>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450D1"/>
    <w:rsid w:val="4C7450D1"/>
    <w:rsid w:val="525A3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2023-06-26T03:59:00Z</dcterms:created>
  <dc:creator>rahma</dc:creator>
  <cp:lastModifiedBy>rahma</cp:lastModifiedBy>
  <dcterms:modified xsi:type="dcterms:W3CDTF">2023-06-26T05:06:22Z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145449F988CA4D8DB988ECE6632A66B0</vt:lpwstr>
  </property>
</Properties>
</file>