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Письмо Министерства природных ресурсов и экологии РФ от 27 февраля 2023 г. № 25-53/6938 "О применении постановления Правительства Российской Федерации от 8 июля 2022 г. № 1224"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Минприроды России в соответствии с письмом журнала ПРОГОСЗАКАЗ.РФ от 17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u-RU"/>
        </w:rPr>
        <w:t xml:space="preserve"> января 2023 г. (вх. от 30 января 2023 г. № 007784/47), а также письмом Минфина России от 27 января 2023 г. № 24-06-06/6343 по вопросу применения норм постановления Правительства Российской Федерации от 08 июля 2022 г. №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 (далее - постановление Правительства) в рамках установленных компетенций сообщает.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Реформа отрасли обращения с твердыми коммунальными отходами (далее - ТКО) включена в перечень национальных целей развития Российской Федерации на период до 2030 года, утвержденных Указом Президента Российской Федерации от 21 июля 2020 г. № 474 (далее - Указ).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К 2030 году во исполнение Указа должны быть достигнуты следующие цели: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сортировка ТКО в объеме 100 процентов;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снижение объема ТКО, направляемых на полигоны, в два раза.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Минприроды России считает, что повышение спроса на продукцию с содержанием вторичного сырья является одним из эффективных инструментов развития рынка производства такой продукции, увеличения количества субъектов малого и среднего предпринимательства, осуществляющих деятельность по ее производству, а также снижения захоронения отходов на объектах размещения.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этой связи концептуальным замыслом постановления Правительства является реализация базового принципа экономики замкнутого цикла, а именно повторное вовлечение в экономический процесс вторичных ресурсов и снижение объема ТКО, направляемых на полигоны, в два раза.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Исходя из принятого постановления Правительства следует, что заказчики в 2023 году не ограничены в установлении конкретной (минимальной) доли вторичного сырья, использованной при производстве товаров в целях их закупки для обеспечения государственных и муниципальных нужд.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Таким образом, заказчик самостоятельно устанавливает такую долю при описании объекта закупки в извещении об осуществлении закупки.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Минприроды России по вопросу установления заказчиком доли вторичного сырья в размере 0% полагает невозможным ввиду сути постановления Правительства о необходимости использования вторичного сырья в продукции и вовлечения его в экономические процессы.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соответствии с положением о Министерстве промышленности торговли Российской Федерации, утвержденным постановлением Правительства Российской Федерации от 5 июня 2008 г. № 438, Минпромторг России является уполномоченным органом Российской Федерации в сфере промышленной политики, внутренней и внешней торговли.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По информации Минпромторга России в качестве подтверждения процентного содержания вторичных ресурсов в товаре можно использовать: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письма от производителя продукции/товара с указанием массовой доли вторичного сырья;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и (или) выписки из технологической/производственной документации производителя товара/продукции;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и (или) документацию на входной поток вторичного сырья производителя товара/продукции по кодам общероссийского классификатора продукции по видам экономической деятельности ОК-034-2014.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Дополнительно сообщаем, что разъяснение вопросов регулирования норм Федеральный закон от 5 апреля 2013 г. № 44-ФЗ "О контрактной системе в сфере закупок товаров, работ, услуг для обеспечения государственных и муниципальных нужд" не относится к компетенции Минприроды России.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>
      <w:pPr>
        <w:ind w:left="0" w:leftChars="0" w:firstLine="799" w:firstLineChars="333"/>
        <w:jc w:val="lef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799" w:firstLineChars="333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государственной политики и</w:t>
      </w:r>
    </w:p>
    <w:p>
      <w:pPr>
        <w:ind w:left="0" w:leftChars="0" w:firstLine="799" w:firstLineChars="333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регулирования в сфере обращения с</w:t>
      </w:r>
    </w:p>
    <w:p>
      <w:pPr>
        <w:ind w:left="0" w:leftChars="0" w:firstLine="799" w:firstLineChars="333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отходами производства и потребления                                    В.В. Руденко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43F3D"/>
    <w:rsid w:val="5B84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2023-04-07T05:03:00Z</dcterms:created>
  <dc:creator>rahma</dc:creator>
  <cp:lastModifiedBy>rahma</cp:lastModifiedBy>
  <dcterms:modified xsi:type="dcterms:W3CDTF">2023-04-07T05:20:37Z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FD71CF7851514AACABC464DB3463D864</vt:lpwstr>
  </property>
</Properties>
</file>