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1205" w:firstLineChars="500"/>
        <w:jc w:val="center"/>
        <w:rPr>
          <w:rFonts w:hint="default" w:ascii="Times New Roman" w:hAnsi="Times New Roman"/>
          <w:b/>
          <w:bCs/>
          <w:color w:val="auto"/>
          <w:sz w:val="24"/>
          <w:szCs w:val="24"/>
          <w:lang w:val="ru-RU"/>
        </w:rPr>
      </w:pPr>
      <w:r>
        <w:rPr>
          <w:rFonts w:hint="default" w:ascii="Times New Roman" w:hAnsi="Times New Roman"/>
          <w:b/>
          <w:bCs/>
          <w:color w:val="auto"/>
          <w:sz w:val="24"/>
          <w:szCs w:val="24"/>
          <w:lang w:val="ru-RU"/>
        </w:rPr>
        <w:t>МИНИСТЕРСТВО ФИНАНСОВ РОССИЙСКОЙ ФЕДЕРАЦИИ</w:t>
      </w:r>
    </w:p>
    <w:p>
      <w:pPr>
        <w:ind w:left="0" w:leftChars="0" w:firstLine="1205" w:firstLineChars="500"/>
        <w:jc w:val="center"/>
        <w:rPr>
          <w:rFonts w:hint="default" w:ascii="Times New Roman" w:hAnsi="Times New Roman"/>
          <w:b/>
          <w:bCs/>
          <w:color w:val="auto"/>
          <w:sz w:val="24"/>
          <w:szCs w:val="24"/>
          <w:lang w:val="ru-RU"/>
        </w:rPr>
      </w:pPr>
    </w:p>
    <w:p>
      <w:pPr>
        <w:ind w:left="0" w:leftChars="0" w:firstLine="1205" w:firstLineChars="500"/>
        <w:jc w:val="center"/>
        <w:rPr>
          <w:rFonts w:hint="default" w:ascii="Times New Roman" w:hAnsi="Times New Roman"/>
          <w:b/>
          <w:bCs/>
          <w:color w:val="auto"/>
          <w:sz w:val="24"/>
          <w:szCs w:val="24"/>
          <w:lang w:val="ru-RU"/>
        </w:rPr>
      </w:pPr>
      <w:r>
        <w:rPr>
          <w:rFonts w:hint="default" w:ascii="Times New Roman" w:hAnsi="Times New Roman"/>
          <w:b/>
          <w:bCs/>
          <w:color w:val="auto"/>
          <w:sz w:val="24"/>
          <w:szCs w:val="24"/>
          <w:lang w:val="ru-RU"/>
        </w:rPr>
        <w:t>ПИСЬМО</w:t>
      </w:r>
    </w:p>
    <w:p>
      <w:pPr>
        <w:ind w:left="0" w:leftChars="0" w:firstLine="1205" w:firstLineChars="500"/>
        <w:jc w:val="center"/>
        <w:rPr>
          <w:rFonts w:hint="default" w:ascii="Times New Roman" w:hAnsi="Times New Roman"/>
          <w:b/>
          <w:bCs/>
          <w:color w:val="auto"/>
          <w:sz w:val="24"/>
          <w:szCs w:val="24"/>
          <w:lang w:val="ru-RU"/>
        </w:rPr>
      </w:pPr>
      <w:r>
        <w:rPr>
          <w:rFonts w:hint="default" w:ascii="Times New Roman" w:hAnsi="Times New Roman"/>
          <w:b/>
          <w:bCs/>
          <w:color w:val="auto"/>
          <w:sz w:val="24"/>
          <w:szCs w:val="24"/>
          <w:lang w:val="ru-RU"/>
        </w:rPr>
        <w:t>от 2 июня 2023 г. № 24-06-06/50959</w:t>
      </w:r>
    </w:p>
    <w:p>
      <w:pPr>
        <w:ind w:left="0" w:leftChars="0" w:firstLine="1200" w:firstLineChars="500"/>
        <w:jc w:val="both"/>
        <w:rPr>
          <w:rFonts w:hint="default" w:ascii="Times New Roman" w:hAnsi="Times New Roman"/>
          <w:color w:val="auto"/>
          <w:sz w:val="24"/>
          <w:szCs w:val="24"/>
          <w:lang w:val="ru-RU"/>
        </w:rPr>
      </w:pPr>
      <w:r>
        <w:rPr>
          <w:rFonts w:hint="default" w:ascii="Times New Roman" w:hAnsi="Times New Roman"/>
          <w:color w:val="auto"/>
          <w:sz w:val="24"/>
          <w:szCs w:val="24"/>
          <w:lang w:val="ru-RU"/>
        </w:rPr>
        <w:t> </w:t>
      </w:r>
    </w:p>
    <w:p>
      <w:pPr>
        <w:ind w:left="0" w:leftChars="0" w:firstLine="1200" w:firstLineChars="500"/>
        <w:jc w:val="both"/>
        <w:rPr>
          <w:rFonts w:hint="default" w:ascii="Times New Roman" w:hAnsi="Times New Roman"/>
          <w:color w:val="auto"/>
          <w:sz w:val="24"/>
          <w:szCs w:val="24"/>
          <w:lang w:val="ru-RU"/>
        </w:rPr>
      </w:pPr>
      <w:bookmarkStart w:id="0" w:name="_GoBack"/>
      <w:r>
        <w:rPr>
          <w:rFonts w:hint="default" w:ascii="Times New Roman" w:hAnsi="Times New Roman"/>
          <w:color w:val="auto"/>
          <w:sz w:val="24"/>
          <w:szCs w:val="24"/>
          <w:lang w:val="ru-RU"/>
        </w:rPr>
        <w:t>Департамент бюджетной политики в сфере контрактной системы Минфина России (далее - Департамент), рассмотрев обращение от 04.05.2023 по вопросу о применении положений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 в части осуществления закупок на выполнение строительных работ, сообщает следующее.</w:t>
      </w:r>
    </w:p>
    <w:p>
      <w:pPr>
        <w:ind w:left="0" w:leftChars="0" w:firstLine="1200" w:firstLineChars="500"/>
        <w:jc w:val="both"/>
        <w:rPr>
          <w:rFonts w:hint="default" w:ascii="Times New Roman" w:hAnsi="Times New Roman"/>
          <w:color w:val="auto"/>
          <w:sz w:val="24"/>
          <w:szCs w:val="24"/>
          <w:lang w:val="ru-RU"/>
        </w:rPr>
      </w:pPr>
      <w:r>
        <w:rPr>
          <w:rFonts w:hint="default" w:ascii="Times New Roman" w:hAnsi="Times New Roman"/>
          <w:color w:val="auto"/>
          <w:sz w:val="24"/>
          <w:szCs w:val="24"/>
          <w:lang w:val="ru-RU"/>
        </w:rPr>
        <w:t>В соответствии с Положением о Министерстве финансов Российской Федерации, утвержденным постановлением Правительства Российской Федерации от 30.06.2004 № 329, Минфин России является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осуществления закупок товаров, работ, услуг для обеспечения государственных и муниципальных нужд.</w:t>
      </w:r>
    </w:p>
    <w:p>
      <w:pPr>
        <w:ind w:left="0" w:leftChars="0" w:firstLine="1200" w:firstLineChars="500"/>
        <w:jc w:val="both"/>
        <w:rPr>
          <w:rFonts w:hint="default" w:ascii="Times New Roman" w:hAnsi="Times New Roman"/>
          <w:color w:val="auto"/>
          <w:sz w:val="24"/>
          <w:szCs w:val="24"/>
          <w:lang w:val="ru-RU"/>
        </w:rPr>
      </w:pPr>
      <w:r>
        <w:rPr>
          <w:rFonts w:hint="default" w:ascii="Times New Roman" w:hAnsi="Times New Roman"/>
          <w:color w:val="auto"/>
          <w:sz w:val="24"/>
          <w:szCs w:val="24"/>
          <w:lang w:val="ru-RU"/>
        </w:rPr>
        <w:t>Согласно пункту 12.5 Регламента Министерства финансов Российской Федерации, утвержденного приказом Министерства финансов Российской Федерации от 14.09.2018 №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 принятого по обращению.</w:t>
      </w:r>
    </w:p>
    <w:p>
      <w:pPr>
        <w:ind w:left="0" w:leftChars="0" w:firstLine="1200" w:firstLineChars="500"/>
        <w:jc w:val="both"/>
        <w:rPr>
          <w:rFonts w:hint="default" w:ascii="Times New Roman" w:hAnsi="Times New Roman"/>
          <w:color w:val="auto"/>
          <w:sz w:val="24"/>
          <w:szCs w:val="24"/>
          <w:lang w:val="ru-RU"/>
        </w:rPr>
      </w:pPr>
      <w:r>
        <w:rPr>
          <w:rFonts w:hint="default" w:ascii="Times New Roman" w:hAnsi="Times New Roman"/>
          <w:color w:val="auto"/>
          <w:sz w:val="24"/>
          <w:szCs w:val="24"/>
          <w:lang w:val="ru-RU"/>
        </w:rPr>
        <w:t>Вместе с тем в рамках компетенции Департамента полагаем необходимым отметить следующее.</w:t>
      </w:r>
    </w:p>
    <w:p>
      <w:pPr>
        <w:ind w:left="0" w:leftChars="0" w:firstLine="1200" w:firstLineChars="500"/>
        <w:jc w:val="both"/>
        <w:rPr>
          <w:rFonts w:hint="default" w:ascii="Times New Roman" w:hAnsi="Times New Roman"/>
          <w:color w:val="auto"/>
          <w:sz w:val="24"/>
          <w:szCs w:val="24"/>
          <w:lang w:val="ru-RU"/>
        </w:rPr>
      </w:pPr>
      <w:r>
        <w:rPr>
          <w:rFonts w:hint="default" w:ascii="Times New Roman" w:hAnsi="Times New Roman"/>
          <w:color w:val="auto"/>
          <w:sz w:val="24"/>
          <w:szCs w:val="24"/>
          <w:lang w:val="ru-RU"/>
        </w:rPr>
        <w:t>Особенности заключения и исполнения контрактов, предметом которых являются строительство, реконструкция объектов капитального строительства, установлены статьей 110.2 Закона № 44-ФЗ.</w:t>
      </w:r>
    </w:p>
    <w:p>
      <w:pPr>
        <w:ind w:left="0" w:leftChars="0" w:firstLine="1200" w:firstLineChars="500"/>
        <w:jc w:val="both"/>
        <w:rPr>
          <w:rFonts w:hint="default" w:ascii="Times New Roman" w:hAnsi="Times New Roman"/>
          <w:color w:val="auto"/>
          <w:sz w:val="24"/>
          <w:szCs w:val="24"/>
          <w:lang w:val="ru-RU"/>
        </w:rPr>
      </w:pPr>
      <w:r>
        <w:rPr>
          <w:rFonts w:hint="default" w:ascii="Times New Roman" w:hAnsi="Times New Roman"/>
          <w:color w:val="auto"/>
          <w:sz w:val="24"/>
          <w:szCs w:val="24"/>
          <w:lang w:val="ru-RU"/>
        </w:rPr>
        <w:t>Так, в соответствии с частью 4 статьи 110.2 Закона № 44-ФЗ результатом выполненной работы по контракту, предметом которого являются строительство, реконструкция объекта капитального строительства, является построенный и (или) реконструированный объект капитального строительства, в отношении которого получено заключение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и заключение федерального государственного экологического надзора в случаях, предусмотренных частью 5 статьи 54 Градостроительного кодекса Российской Федерации.</w:t>
      </w:r>
    </w:p>
    <w:p>
      <w:pPr>
        <w:ind w:left="0" w:leftChars="0" w:firstLine="1200" w:firstLineChars="500"/>
        <w:jc w:val="both"/>
        <w:rPr>
          <w:rFonts w:hint="default" w:ascii="Times New Roman" w:hAnsi="Times New Roman"/>
          <w:color w:val="auto"/>
          <w:sz w:val="24"/>
          <w:szCs w:val="24"/>
          <w:lang w:val="ru-RU"/>
        </w:rPr>
      </w:pPr>
      <w:r>
        <w:rPr>
          <w:rFonts w:hint="default" w:ascii="Times New Roman" w:hAnsi="Times New Roman"/>
          <w:color w:val="auto"/>
          <w:sz w:val="24"/>
          <w:szCs w:val="24"/>
          <w:lang w:val="ru-RU"/>
        </w:rPr>
        <w:t>Частью 5 статьи 110.2 Закона № 44-ФЗ установлено, что контракт, предметом которого являются строительство и (или) реконструкция объектов капитального строительства, должен содержать условие о поэтапной оплате выполненных подрядчиком работ исходя из объема таких работ и цены контракта.</w:t>
      </w:r>
    </w:p>
    <w:p>
      <w:pPr>
        <w:ind w:left="0" w:leftChars="0" w:firstLine="1200" w:firstLineChars="500"/>
        <w:jc w:val="both"/>
        <w:rPr>
          <w:rFonts w:hint="default" w:ascii="Times New Roman" w:hAnsi="Times New Roman"/>
          <w:color w:val="auto"/>
          <w:sz w:val="24"/>
          <w:szCs w:val="24"/>
          <w:lang w:val="ru-RU"/>
        </w:rPr>
      </w:pPr>
      <w:r>
        <w:rPr>
          <w:rFonts w:hint="default" w:ascii="Times New Roman" w:hAnsi="Times New Roman"/>
          <w:color w:val="auto"/>
          <w:sz w:val="24"/>
          <w:szCs w:val="24"/>
          <w:lang w:val="ru-RU"/>
        </w:rPr>
        <w:t>Объем, содержание работ по контрактам, предметом которых являются строительство, реконструкция объектов капитального строительства, определяются проектной документацией объектов капитального строительства, а также иной технической документацией, предусмотренной такими контрактами. При этом выполнение работ по таким контрактам осуществляется в соответствии с графиком выполнения строительно-монтажных работ, являющимся обязательным приложением к таким контрактам (часть 6 статьи 110.2 Закона № 44-ФЗ).</w:t>
      </w:r>
    </w:p>
    <w:p>
      <w:pPr>
        <w:ind w:left="0" w:leftChars="0" w:firstLine="1200" w:firstLineChars="500"/>
        <w:jc w:val="both"/>
        <w:rPr>
          <w:rFonts w:hint="default" w:ascii="Times New Roman" w:hAnsi="Times New Roman"/>
          <w:color w:val="auto"/>
          <w:sz w:val="24"/>
          <w:szCs w:val="24"/>
          <w:lang w:val="ru-RU"/>
        </w:rPr>
      </w:pPr>
      <w:r>
        <w:rPr>
          <w:rFonts w:hint="default" w:ascii="Times New Roman" w:hAnsi="Times New Roman"/>
          <w:color w:val="auto"/>
          <w:sz w:val="24"/>
          <w:szCs w:val="24"/>
          <w:lang w:val="ru-RU"/>
        </w:rPr>
        <w:t>Согласно части 6.1 статьи 110.2 Закона № 44-ФЗ оплата выполненных работ осуществляется в пределах цены контрактов, предметом которых являются строительство, реконструкция объектов капитального строительства, в соответствии с их сметой, в сроки и в размерах, которые установлены таким контрактом или графиком оплаты выполненных по контракту работ (при наличии), с учетом графика выполнения строительно-монтажных работ и фактически выполненных подрядчиком работ. При этом составление сметы такого контракта осуществляется в пределах цены контракта без использования предусмотренных проектной документацией в соответствии с Градостроительным кодексом Российской Федерации сметных нормативов, сведения о которых включены в федеральный реестр сметных нормативов, и сметных цен строительных ресурсов.</w:t>
      </w:r>
    </w:p>
    <w:p>
      <w:pPr>
        <w:ind w:left="0" w:leftChars="0" w:firstLine="1200" w:firstLineChars="500"/>
        <w:jc w:val="both"/>
        <w:rPr>
          <w:rFonts w:hint="default" w:ascii="Times New Roman" w:hAnsi="Times New Roman"/>
          <w:color w:val="auto"/>
          <w:sz w:val="24"/>
          <w:szCs w:val="24"/>
          <w:lang w:val="ru-RU"/>
        </w:rPr>
      </w:pPr>
      <w:r>
        <w:rPr>
          <w:rFonts w:hint="default" w:ascii="Times New Roman" w:hAnsi="Times New Roman"/>
          <w:color w:val="auto"/>
          <w:sz w:val="24"/>
          <w:szCs w:val="24"/>
          <w:lang w:val="ru-RU"/>
        </w:rPr>
        <w:t>В соответствии с частью 7 статьи 110.2 Закона № 44-ФЗ методики составления сметы контракта, графика оплаты выполненных по контракту работ, графика выполнения строительно-монтажных работ утверждаются уполномоченным Правительством Российской Федерации федеральным органом исполнительной власти.</w:t>
      </w:r>
    </w:p>
    <w:p>
      <w:pPr>
        <w:ind w:left="0" w:leftChars="0" w:firstLine="1200" w:firstLineChars="500"/>
        <w:jc w:val="both"/>
        <w:rPr>
          <w:rFonts w:hint="default" w:ascii="Times New Roman" w:hAnsi="Times New Roman"/>
          <w:color w:val="auto"/>
          <w:sz w:val="24"/>
          <w:szCs w:val="24"/>
          <w:lang w:val="ru-RU"/>
        </w:rPr>
      </w:pPr>
      <w:r>
        <w:rPr>
          <w:rFonts w:hint="default" w:ascii="Times New Roman" w:hAnsi="Times New Roman"/>
          <w:color w:val="auto"/>
          <w:sz w:val="24"/>
          <w:szCs w:val="24"/>
          <w:lang w:val="ru-RU"/>
        </w:rPr>
        <w:t xml:space="preserve">Так, приказом Минстроя России от 23.12.2019 № 841/пр </w:t>
      </w:r>
      <w:r>
        <w:rPr>
          <w:rFonts w:hint="default" w:ascii="Times New Roman" w:hAnsi="Times New Roman"/>
          <w:color w:val="auto"/>
          <w:sz w:val="24"/>
          <w:szCs w:val="24"/>
          <w:lang w:val="ru-RU"/>
        </w:rPr>
        <w:t>"Об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и Методики составления сметы контракта, предметом которого являются строительство, реконструкция объектов капитального строительства" (далее - Методика)</w:t>
      </w:r>
      <w:r>
        <w:rPr>
          <w:rFonts w:hint="default" w:ascii="Times New Roman" w:hAnsi="Times New Roman"/>
          <w:color w:val="auto"/>
          <w:sz w:val="24"/>
          <w:szCs w:val="24"/>
          <w:lang w:val="ru-RU"/>
        </w:rPr>
        <w:t xml:space="preserve"> утверждена Методика составления сметы контракта, предметом которого являются строительство, реконструкция объектов капитального строительства. </w:t>
      </w:r>
    </w:p>
    <w:p>
      <w:pPr>
        <w:ind w:left="0" w:leftChars="0" w:firstLine="1200" w:firstLineChars="500"/>
        <w:jc w:val="both"/>
        <w:rPr>
          <w:rFonts w:hint="default" w:ascii="Times New Roman" w:hAnsi="Times New Roman"/>
          <w:color w:val="auto"/>
          <w:sz w:val="24"/>
          <w:szCs w:val="24"/>
          <w:lang w:val="ru-RU"/>
        </w:rPr>
      </w:pPr>
      <w:r>
        <w:rPr>
          <w:rFonts w:hint="default" w:ascii="Times New Roman" w:hAnsi="Times New Roman"/>
          <w:color w:val="auto"/>
          <w:sz w:val="24"/>
          <w:szCs w:val="24"/>
          <w:lang w:val="ru-RU"/>
        </w:rPr>
        <w:t>Методика определяет общие правила составления сметы указанного контракта при его заключении и внесении изменений в такой контракт в соответствии с Законом № 44-ФЗ.</w:t>
      </w:r>
    </w:p>
    <w:p>
      <w:pPr>
        <w:ind w:left="0" w:leftChars="0" w:firstLine="1200" w:firstLineChars="500"/>
        <w:jc w:val="both"/>
        <w:rPr>
          <w:rFonts w:hint="default" w:ascii="Times New Roman" w:hAnsi="Times New Roman"/>
          <w:color w:val="auto"/>
          <w:sz w:val="24"/>
          <w:szCs w:val="24"/>
          <w:lang w:val="ru-RU"/>
        </w:rPr>
      </w:pPr>
      <w:r>
        <w:rPr>
          <w:rFonts w:hint="default" w:ascii="Times New Roman" w:hAnsi="Times New Roman"/>
          <w:color w:val="auto"/>
          <w:sz w:val="24"/>
          <w:szCs w:val="24"/>
          <w:lang w:val="ru-RU"/>
        </w:rPr>
        <w:t>Кроме того, приказом Минстроя России от 14.01.2020 № 9/пр утверждены типовые условия контрактов на выполнение работ по строительству (реконструкции) объекта капитального строительства и информационной карты типовых условий контракта (далее - Приказ № 9/пр, Типовой контракт).</w:t>
      </w:r>
    </w:p>
    <w:p>
      <w:pPr>
        <w:ind w:left="0" w:leftChars="0" w:firstLine="1200" w:firstLineChars="500"/>
        <w:jc w:val="both"/>
        <w:rPr>
          <w:rFonts w:hint="default" w:ascii="Times New Roman" w:hAnsi="Times New Roman"/>
          <w:color w:val="auto"/>
          <w:sz w:val="24"/>
          <w:szCs w:val="24"/>
          <w:lang w:val="ru-RU"/>
        </w:rPr>
      </w:pPr>
      <w:r>
        <w:rPr>
          <w:rFonts w:hint="default" w:ascii="Times New Roman" w:hAnsi="Times New Roman"/>
          <w:color w:val="auto"/>
          <w:sz w:val="24"/>
          <w:szCs w:val="24"/>
          <w:lang w:val="ru-RU"/>
        </w:rPr>
        <w:t>Применение Типового контракта обязательно при условии одновременного соответствия показателей для применения типового контракта, указанных в информационной карте, утвержденной Приказом № 9/пр, данным, характеризующим конкретную закупку, до утверждения Правительством Российской Федерации типовых условий контрактов в части, не противоречащей Закону № 44-ФЗ.</w:t>
      </w:r>
    </w:p>
    <w:p>
      <w:pPr>
        <w:ind w:left="0" w:leftChars="0" w:firstLine="1200" w:firstLineChars="500"/>
        <w:jc w:val="both"/>
        <w:rPr>
          <w:rFonts w:hint="default" w:ascii="Times New Roman" w:hAnsi="Times New Roman"/>
          <w:color w:val="auto"/>
          <w:sz w:val="24"/>
          <w:szCs w:val="24"/>
          <w:lang w:val="ru-RU"/>
        </w:rPr>
      </w:pPr>
      <w:r>
        <w:rPr>
          <w:rFonts w:hint="default" w:ascii="Times New Roman" w:hAnsi="Times New Roman"/>
          <w:color w:val="auto"/>
          <w:sz w:val="24"/>
          <w:szCs w:val="24"/>
          <w:lang w:val="ru-RU"/>
        </w:rPr>
        <w:t>Согласно пункту 5.1 Типового контракта приемка и оплата выполненных работ, в том числе их отдельных этапов, осуществляются на основании первичных учетных документов, подтверждающих их выполнение, составленных после завершения выполнения конструктивных решений (элементов), комплексов (видов) работ (этапов работ) на основании сметы контракта, графика выполнения строительно-монтажных работ и графика оплаты выполненных работ (при наличии), условий контракта, в соответствии с Гражданским кодексом Российской Федерации.</w:t>
      </w:r>
    </w:p>
    <w:p>
      <w:pPr>
        <w:ind w:left="0" w:leftChars="0" w:firstLine="1200" w:firstLineChars="500"/>
        <w:jc w:val="both"/>
        <w:rPr>
          <w:rFonts w:hint="default" w:ascii="Times New Roman" w:hAnsi="Times New Roman"/>
          <w:color w:val="auto"/>
          <w:sz w:val="24"/>
          <w:szCs w:val="24"/>
          <w:lang w:val="ru-RU"/>
        </w:rPr>
      </w:pPr>
      <w:r>
        <w:rPr>
          <w:rFonts w:hint="default" w:ascii="Times New Roman" w:hAnsi="Times New Roman"/>
          <w:color w:val="auto"/>
          <w:sz w:val="24"/>
          <w:szCs w:val="24"/>
          <w:lang w:val="ru-RU"/>
        </w:rPr>
        <w:t>С учетом изложенного заказчик при осуществлении приемки и оплаты выполненных работ (отдельных этапов выполненных работ) по заключенному контракту на строительство, реконструкцию объекта капитального строительства руководствуется положениями Закона № 44-ФЗ, Методики, а также положениями Типового контракта.</w:t>
      </w:r>
    </w:p>
    <w:p>
      <w:pPr>
        <w:ind w:left="0" w:leftChars="0" w:firstLine="1200" w:firstLineChars="500"/>
        <w:jc w:val="both"/>
        <w:rPr>
          <w:rFonts w:hint="default" w:ascii="Times New Roman" w:hAnsi="Times New Roman"/>
          <w:color w:val="auto"/>
          <w:sz w:val="24"/>
          <w:szCs w:val="24"/>
          <w:lang w:val="ru-RU"/>
        </w:rPr>
      </w:pPr>
      <w:r>
        <w:rPr>
          <w:rFonts w:hint="default" w:ascii="Times New Roman" w:hAnsi="Times New Roman"/>
          <w:color w:val="auto"/>
          <w:sz w:val="24"/>
          <w:szCs w:val="24"/>
          <w:lang w:val="ru-RU"/>
        </w:rPr>
        <w:t>Дополнительно Департамент обращает внимание, что вопрос о наличии либо об отсутствии признаков нарушения Закона № 44-ФЗ рассматривается органом исполнительной власти, уполномоченным на осуществление контроля (надзора) в сфере закупок товаров, работ, услуг для обеспечения государственных и муниципальных нужд, в каждом конкретном случае, исходя из всех обстоятельств дела.</w:t>
      </w:r>
    </w:p>
    <w:bookmarkEnd w:id="0"/>
    <w:p>
      <w:pPr>
        <w:ind w:left="0" w:leftChars="0" w:firstLine="1200" w:firstLineChars="500"/>
        <w:jc w:val="both"/>
        <w:rPr>
          <w:rFonts w:hint="default" w:ascii="Times New Roman" w:hAnsi="Times New Roman"/>
          <w:color w:val="auto"/>
          <w:sz w:val="24"/>
          <w:szCs w:val="24"/>
          <w:lang w:val="ru-RU"/>
        </w:rPr>
      </w:pPr>
      <w:r>
        <w:rPr>
          <w:rFonts w:hint="default" w:ascii="Times New Roman" w:hAnsi="Times New Roman"/>
          <w:color w:val="auto"/>
          <w:sz w:val="24"/>
          <w:szCs w:val="24"/>
          <w:lang w:val="ru-RU"/>
        </w:rPr>
        <w:t> </w:t>
      </w:r>
    </w:p>
    <w:p>
      <w:pPr>
        <w:ind w:left="0" w:leftChars="0" w:firstLine="1200" w:firstLineChars="500"/>
        <w:jc w:val="right"/>
        <w:rPr>
          <w:rFonts w:hint="default" w:ascii="Times New Roman" w:hAnsi="Times New Roman"/>
          <w:color w:val="auto"/>
          <w:sz w:val="24"/>
          <w:szCs w:val="24"/>
          <w:lang w:val="ru-RU"/>
        </w:rPr>
      </w:pPr>
      <w:r>
        <w:rPr>
          <w:rFonts w:hint="default" w:ascii="Times New Roman" w:hAnsi="Times New Roman"/>
          <w:color w:val="auto"/>
          <w:sz w:val="24"/>
          <w:szCs w:val="24"/>
          <w:lang w:val="ru-RU"/>
        </w:rPr>
        <w:t>Заместитель директора Департамента</w:t>
      </w:r>
    </w:p>
    <w:p>
      <w:pPr>
        <w:ind w:left="0" w:leftChars="0" w:firstLine="1200" w:firstLineChars="500"/>
        <w:jc w:val="right"/>
        <w:rPr>
          <w:rFonts w:hint="default" w:ascii="Times New Roman" w:hAnsi="Times New Roman"/>
          <w:color w:val="auto"/>
          <w:sz w:val="24"/>
          <w:szCs w:val="24"/>
          <w:lang w:val="ru-RU"/>
        </w:rPr>
      </w:pPr>
      <w:r>
        <w:rPr>
          <w:rFonts w:hint="default" w:ascii="Times New Roman" w:hAnsi="Times New Roman"/>
          <w:color w:val="auto"/>
          <w:sz w:val="24"/>
          <w:szCs w:val="24"/>
          <w:lang w:val="ru-RU"/>
        </w:rPr>
        <w:t>Д.А.ГОТОВЦЕВ</w:t>
      </w:r>
    </w:p>
    <w:p>
      <w:pPr>
        <w:ind w:left="0" w:leftChars="0" w:firstLine="1200" w:firstLineChars="500"/>
        <w:jc w:val="right"/>
        <w:rPr>
          <w:rFonts w:hint="default" w:ascii="Times New Roman" w:hAnsi="Times New Roman"/>
          <w:color w:val="auto"/>
          <w:sz w:val="24"/>
          <w:szCs w:val="24"/>
          <w:lang w:val="ru-RU"/>
        </w:rPr>
      </w:pPr>
      <w:r>
        <w:rPr>
          <w:rFonts w:hint="default" w:ascii="Times New Roman" w:hAnsi="Times New Roman"/>
          <w:color w:val="auto"/>
          <w:sz w:val="24"/>
          <w:szCs w:val="24"/>
          <w:lang w:val="ru-RU"/>
        </w:rPr>
        <w:t>02.06.2023</w:t>
      </w:r>
    </w:p>
    <w:p>
      <w:pPr>
        <w:ind w:left="0" w:leftChars="0" w:firstLine="1200" w:firstLineChars="500"/>
        <w:jc w:val="both"/>
        <w:rPr>
          <w:rFonts w:hint="default" w:ascii="Times New Roman" w:hAnsi="Times New Roman"/>
          <w:color w:val="auto"/>
          <w:sz w:val="24"/>
          <w:szCs w:val="24"/>
          <w:lang w:val="ru-RU"/>
        </w:rPr>
      </w:pPr>
      <w:r>
        <w:rPr>
          <w:rFonts w:hint="default" w:ascii="Times New Roman" w:hAnsi="Times New Roman"/>
          <w:color w:val="auto"/>
          <w:sz w:val="24"/>
          <w:szCs w:val="24"/>
          <w:lang w:val="ru-RU"/>
        </w:rPr>
        <w:t> </w:t>
      </w:r>
    </w:p>
    <w:p>
      <w:pPr>
        <w:ind w:left="0" w:leftChars="0" w:firstLine="1200" w:firstLineChars="500"/>
        <w:jc w:val="both"/>
        <w:rPr>
          <w:rFonts w:hint="default" w:ascii="Times New Roman" w:hAnsi="Times New Roman" w:cs="Times New Roman"/>
          <w:color w:val="auto"/>
          <w:sz w:val="24"/>
          <w:szCs w:val="24"/>
          <w:lang w:val="ru-RU"/>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AE0007"/>
    <w:rsid w:val="20DB7903"/>
    <w:rsid w:val="70AE00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2023-07-10T01:56:00Z</dcterms:created>
  <dc:creator>rahma</dc:creator>
  <cp:lastModifiedBy>rahma</cp:lastModifiedBy>
  <dcterms:modified xsi:type="dcterms:W3CDTF">2023-07-10T02:36:06Z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BCAEE4EE5703456295B3D5D3F59BC380</vt:lpwstr>
  </property>
</Properties>
</file>