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998" w:firstLineChars="416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998" w:firstLineChars="416"/>
        <w:jc w:val="center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p>
      <w:pPr>
        <w:ind w:left="0" w:leftChars="0" w:firstLine="998" w:firstLineChars="416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ПИСЬМО</w:t>
      </w:r>
    </w:p>
    <w:p>
      <w:pPr>
        <w:ind w:left="0" w:leftChars="0" w:firstLine="998" w:firstLineChars="416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от 6 июля 2023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24-06-06/63111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14.06.2023, по вопросу применения положений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44-ФЗ) в части порядка установления максимального размера обеспечения исполнения контракта и авансового платежа,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194н,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положениям части 6 статьи 96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в случае установления заказчиком в соответствии с указанной статьей требования обеспечения исполнения контракта размер такого обеспечения устанавливается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в извещении об осуществлении закупки, документации о закупке, проекте контракта, приглашении в размере от 0,5% до 30% начальной (максимальной) цены контракта, за исключением случаев, предусмотренных частями 6.1 - 6.2-1 данной статьи, и с учетом положений указанной части.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Таким образом, в соответствии с положениями части 6 статьи 96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предусмотрена возможность установления обеспечения исполнения контракта в размере до 30% включительно с учетом установленных в данной части особенностей.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 вопросу установления в 2023 году максимального размера авансовых платежей при заключении государственных контрактов на поставку товаров, выполнение работ, оказание услуг, средства на финансовое обеспечение которых подлежат казначейскому сопровождению, Департамент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Положениями пункта 2 постановления Правительства Российской Федерации от 06.03.2023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348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2023 году"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348) установлено, что в 2023 году получатели средств федерального бюджета предусматривают в заключаемых ими государственных контрактах,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от 30% до 50% суммы государственного контракта,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Исходя из положений указанного пункта при заключении в 2023 году государственных контрактов, средства на финансовое обеспечение которых подлежат казначейскому сопровождению, максимальный размер авансовых платежей может быть установлен 50% включительно от суммы государственного контракта.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При этом получатели средств бюджета субъекта Российской Федерации при заключении государственных контрактов должны руководствоваться актами, принимаемыми высшими исполнительными органами власти субъектов Российской Федерации в соответствии с пунктом 7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348.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06.07.2023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2CD41514"/>
    <w:rsid w:val="7E3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2023-07-31T03:30:28Z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094D83AEF9154C76B53C5A66441DAC8E</vt:lpwstr>
  </property>
</Properties>
</file>