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3F" w:rsidRPr="00B3683F" w:rsidRDefault="00B3683F" w:rsidP="00B3683F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</w:pPr>
      <w:r w:rsidRPr="00B3683F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>Письмо Минфина России от 04.12.2023 № 02-10-08/1/116598 «Об особенностях проведения Минфином России мониторинга качества финансового менеджмента в отношении главных распорядителей средств федерального бюджета, главных администраторов доходов федерального бюджета, главных администраторов источников финансирования дефицита федерального бюджета с 01.01.2024»</w:t>
      </w:r>
    </w:p>
    <w:p w:rsidR="0025223A" w:rsidRPr="00B3683F" w:rsidRDefault="0025223A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в целях методического обеспечения проведения мониторинга качества финансового менеджмента (далее – КФМ), предусмотренного положениями абзаца сорокового статьи 165 Бюджетного кодекса Российской Федерации, сообщает следующее.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С 01.01.2024 вступают в силу изменения в Порядок проведения Министерством финансов Российской Федерации мониторинга КФМ, утвержденный приказом Министерства финансов Российской Федерации от 18.06.2020 № 112н (далее – Порядок № 112н), утвержденные приказом Министерства финансов Российской Федерации от 15.09.2023 № 147н (далее – Приказ № 147н), в том числе в отношении: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1) срока проведения годового мониторинга КФМ.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Согласно пункту 7 Порядка № 112н с учетом изменений, внесенных Приказом № 147н, годовой мониторинг КФМ за отчетный финансовый год проводится в срок до 10 июня года, следующего 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Таким образом, годовой мониторинг КФМ за 2023 год будет проводиться с учетом изменений, внесенных Приказом № 147н, до 10.06.2024;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2) обеспечения автоматизации проведения мониторинга КФМ, а также изменения сроков представления главными распорядителями средств федерального бюджета, главными администраторами доходов федерального бюджета, главными администраторами источников финансирования дефицита федерального бюджета (далее – главный администратор) информации в Министерство финансов Российской Федерации.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Руководствуясь пунктом 5, подпунктом 10.2 пункта 10 и пунктом 15 Порядка № 112н с учетом изменений, внесенных Приказом № 147н, главные администраторы представляют в Министерство финансов Российской Федерации путем формирования и подписания электронной подписью в разделе «Данные ГАСФБ» модуля «Мониторинг качества финансового менеджмента главных администраторов (администраторов) бюджетных средств» подсистемы финансового контроля государственной интегрированной информационной системы управления общественными финансами «Электронный бюджет» (далее - ГИИС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Электронный бюджет») с учетом соблюдения требований, предусмотренных законодательством Российской Федерации в области защиты государственной и иной охраняемой законом тайны: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lastRenderedPageBreak/>
        <w:t>- сведения об исковых требованиях и судебных решениях, вступивших в законную силу, по форме приложения к приложению № 9 к Порядку № 112н (далее - Сведения № 9) до 15 апреля текущего финансового года;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об управлении активами (имуществом) по форме приложения к приложению № 10 к Порядку № 112н (далее – Сведения № 10) до 15 апреля текущего финансового года;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о выявленных Федеральным казначейством, Счетной палатой Российской Федерации нарушениях, допущенных в отчетном финансовом году главным администратором, по форме приложения к приложению № 11 к Порядку № 112н (далее – Сведения № 11) до 15 мая текущего финансового года;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о ходе реализации мер, направленных на повышение КФМ, по форме приложения к приложению № 12 к Порядку № 112н (далее – Сведения № 12) до 1 сентября текущего финансового года.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Таким образом, в целях проведения мониторинга КФМ в 2024 году главные администраторы представляют во вкладке «2023» раздела «Данные ГАСФБ» модуля «Мониторинг качества финансового менеджмента главных администраторов (администраторов) бюджетных средств» подсистемы финансового контроля ГИИС «Электронный бюджет»: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№ 9 до 15.04.2024;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№ 10 до 15.04.2024;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№ 11 до 15.05.2024;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Сведения № 12 до 01.09.2024.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>, направление вышеуказанной информации главными администраторами в Министерство финансов Российской Федерации на бумажном носителе не требуется.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При этом Министерство финансов Российской Федерации считает возможным учесть при проведении мониторинга КФМ сведения, составляющие государственную или иную охраняемую законом тайну, при их представлении главными администраторами в Министерство финансов Российской Федерации. Решение о необходимости представления таких сведений в Министерство финансов Российской Федерации принимается главными администраторами самостоятельно.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Информация о форме и сроках представления сведений, составляющих государственную или иную охраняемую законом тайну, направлена письмом Департамента бюджетной методологии и финансовой отчетности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в государственном секторе Министерства финансов Российской Федерации от 18.08.2023 № 02-10-08/1/78360, а в части представления информации по показателям качества управления доходами бюджета, введенным в соответствии с Приказом № 147н, с учетом их детализации согласно приложению к настоящему письму;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lastRenderedPageBreak/>
        <w:t>3) информации, представляемой главными администраторами в Министерство финансов Российской Федерации, в части управления активами (имуществом).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В соответствии с положениями Порядка № 112н с учетом изменений, внесенных Приказом № 147н, в Сведениях № 10 указываются: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объем поступлений доходов в федеральный бюджет от перечисления арендаторами арендной платы главному администратору, в том числе подведомственным ему администраторам доходов федерального бюджета, в отчетном году – по строке 100;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сумма возмещения расходов федерального бюджета на коммунальные услуги по договорам аренды и договорам безвозмездного пользования, поступившая главному администратору, в том числе подведомственным ему администраторам доходов федерального бюджета, в отчетном году – по строке 200;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расходы главного администратора, включая подведомственных ему распорядителей и получателей средств федерального бюджета, на содержание административных зданий, сооружений, нежилых помещений, переданных главным администратором, в том числе подведомственными ему распорядителями и получателями средств федерального бюджета, в аренду и безвозмездное пользование, в отчетном году – по строке 300;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расходы главного администратора, в том числе подведомственных ему распорядителей и получателей средств федерального бюджета, на перечисление арендной платы в отчетном периоде и возмещение расходов на коммунальные услуги по договорам аренды и безвозмездного пользования – по строке 400;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4) информации, представляемой главными администраторами в Министерство финансов Российской Федерации, в части нарушений, выявленных Федеральным казначейством и Счетной палатой Российской Федерации.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В соответствии с положениями Порядка № 112н с учетом изменений, внесенных Приказом № 147н, в Сведения № 11 включается информация о выявленных Федеральным казначейством и Счетной палатой Российской Федерации нарушениях, допущенных в отчетном финансовом году, на основании: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заключений по результатам внешней проверки годового отчета об исполнении федерального бюджета и (или) годовой бюджетной отчетности главного администратора за отчетный финансовый год;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представлений Счетной палаты Российской Федерации и Федерального казначейства;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предписаний Счетной палаты Российской Федерации и Федерального казначейства;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уведомлений о применении бюджетных мер принуждения;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lastRenderedPageBreak/>
        <w:t>- информационных писем Счетной палаты Российской Федерации и Федерального казначейства, в том числе направляемых при осуществлении контроля в отношении закупок товаров, работ, услуг для обеспечения государственных нужд, предусмотренного пунктами 2 и 3 части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Таким образом, в целях проведения мониторинга КФМ главные администраторы представляют в 2024 году Сведения № 11, содержащие информацию о выявленных Федеральным казначейством и Счетной палатой Российской Федерации нарушениях, допущенных главным администратором в 2023 году, информация о которых поступила главному администратору до 15.05.2024.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При этом при заполнении Сведений № 11 указывается в том числе: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- содержание нарушения, допущенного главным администратором в отчетном финансовом году и выявленного Счетной палатой Российской Федерации или Федеральным казначейством с указанием ссылок на соответствующие структурные единицы нормативных правовых актов, положения которых нарушены, – в графе 2;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код и наименование типа нарушения в соответствии с перечнем, приведенным в Приложении № 11 к Порядку № 112н с учетом изменений, внесенных Приказом № 147н, а также направление оценки (группы) КФМ, к которой оно относится, – в графах 3 – 5;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вид нарушения (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денежное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или неденежное) – в графе 6;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значение (сумма) допущенного нарушения, в случае если в графе 6 указан вид нарушения «денежное», – в графе 7;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принятые главными администраторами меры, направленные на устранение выявленных нарушений, – в графе 8;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иная информация, предусмотренная графами 9 – 12 Порядка № 112н с учетом изменений, внесенных Приказом № 147н.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если информация содержит сведения, составляющие государственную или иную охраняемую законом тайну, Сведения № 11 главными администраторами также представляются, при этом в графах 2 и 8 указывается прочерк, а графа 7 не заполняется.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5) информации, представляемой главными администраторами в Министерство финансов Российской Федерации, в части хода реализации мер, направленных на повышение КФМ.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№ 112н с учетом изменений, внесенных Приказом № 147н, в том числе согласно пунктам 15 и 16 указанного порядка, в Сведениях № 12 указывается информация о ходе реализации мер, направленных на повышение КФМ, по каждому направлению оценки КФМ (например, оценка качества управления расходами бюджета, оценка качества управления доходами бюджета, оценка </w:t>
      </w:r>
      <w:r w:rsidRPr="00B3683F">
        <w:rPr>
          <w:rFonts w:ascii="Times New Roman" w:hAnsi="Times New Roman" w:cs="Times New Roman"/>
          <w:sz w:val="24"/>
          <w:szCs w:val="24"/>
        </w:rPr>
        <w:lastRenderedPageBreak/>
        <w:t>качества ведения учета и составления бюджетной отчетности, оценка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83F">
        <w:rPr>
          <w:rFonts w:ascii="Times New Roman" w:hAnsi="Times New Roman" w:cs="Times New Roman"/>
          <w:sz w:val="24"/>
          <w:szCs w:val="24"/>
        </w:rPr>
        <w:t>качества управления активами, оценка качества осуществления закупок товаров, работ и услуг для обеспечения государственных нужд), значение по которому по результатам годового мониторинга КФМ меньше целевого значения по направлению оценки КФМ более чем на 25%, причины такого отклонения и данные о планируемых (исполняемых) мероприятиях, направленных на достижение целевых значений по указанным направлениям оценки КФМ.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При этом согласно пункту 16 Порядка № 112н с учетом изменений, внесенных Приказом № 147н, при отсутствии у главного администратора по результатам годового мониторинга КФМ направлений оценки КФМ, значение по которому меньше целевого значения по направлению оценки КФМ более чем на 25%, Сведения № 12 не заполняются и не представляются в Министерство финансов Российской Федерации;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6) подхода к расчету показателей качества управления доходами бюджета.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В соответствии с приложением к приложению № 3 к Порядку № 112н с учетом изменений, внесенных Приказом № 147н, расчет показателей качества управления доходами бюджета осуществляется по отдельным кодам классификации доходов бюджетов (приложение к настоящему письму) при составлении и ведении кассового плана по доходам федерального бюджета, а также при формировании проекта федерального закона о федеральном бюджете на очередной финансовый год и плановый период.</w:t>
      </w:r>
      <w:proofErr w:type="gramEnd"/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При этом при проведении мониторинга КФМ в целях расчета показателей КФМ, характеризующих качество формирования в целях составления и ведения кассового плана по доходам федерального бюджета прогноза поступлений доходов федерального бюджета, учитывается прогноз поступлений доходов федерального бюджета по отдельным кодам классификации доходов бюджета, сформированный: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за </w:t>
      </w:r>
      <w:r w:rsidRPr="00B368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683F">
        <w:rPr>
          <w:rFonts w:ascii="Times New Roman" w:hAnsi="Times New Roman" w:cs="Times New Roman"/>
          <w:sz w:val="24"/>
          <w:szCs w:val="24"/>
        </w:rPr>
        <w:t xml:space="preserve"> квартал – на 1 января;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за </w:t>
      </w:r>
      <w:r w:rsidRPr="00B3683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3683F">
        <w:rPr>
          <w:rFonts w:ascii="Times New Roman" w:hAnsi="Times New Roman" w:cs="Times New Roman"/>
          <w:sz w:val="24"/>
          <w:szCs w:val="24"/>
        </w:rPr>
        <w:t xml:space="preserve"> квартал – на 1 апреля;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за </w:t>
      </w:r>
      <w:r w:rsidRPr="00B3683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3683F">
        <w:rPr>
          <w:rFonts w:ascii="Times New Roman" w:hAnsi="Times New Roman" w:cs="Times New Roman"/>
          <w:sz w:val="24"/>
          <w:szCs w:val="24"/>
        </w:rPr>
        <w:t xml:space="preserve"> квартал – на 1 июля;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за </w:t>
      </w:r>
      <w:r w:rsidRPr="00B3683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3683F">
        <w:rPr>
          <w:rFonts w:ascii="Times New Roman" w:hAnsi="Times New Roman" w:cs="Times New Roman"/>
          <w:sz w:val="24"/>
          <w:szCs w:val="24"/>
        </w:rPr>
        <w:t xml:space="preserve"> квартал – на 1 октября.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Кроме того, Порядок № 112н направлен на минимизацию субъективного фактора в процессе расчета значений показателей КФМ, осуществляемого главными администраторами, и создание единой системы оценки качества проведенной главными администраторами работы.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целях совершенствования единой системы оценки качества проведенной главными администраторами работы, а также обеспечения равных условий оценки главных администраторов предусмотрен новый подход, учитывающий общие тенденции к достижению прогнозных значений показателей поступлений по доходам федерального бюджета главными администраторами доходов федерального бюджета. В связи с этим отсутствуют основания для уточнения указанных показателей на основе предложений главных администраторов доходов федерального </w:t>
      </w:r>
      <w:r w:rsidRPr="00B3683F">
        <w:rPr>
          <w:rFonts w:ascii="Times New Roman" w:hAnsi="Times New Roman" w:cs="Times New Roman"/>
          <w:sz w:val="24"/>
          <w:szCs w:val="24"/>
        </w:rPr>
        <w:lastRenderedPageBreak/>
        <w:t>бюджета о сложностях, возникших при прогнозировании доходов федерального бюджета также администрируемых другими главными администраторами доходов федерального бюджета;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7) подхода к оценке качества осуществления внутреннего финансового аудита (далее – ВФА) в главном администраторе.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При расчете оценки уровня зрелости ВФА учитываются: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результаты проведенного в текущем году Федеральным казначейством в соответствии с пунктом 4 статьи 157 Бюджетного кодекса Российской Федерации анализа осуществления ВФА за отчетный финансовый год главными администраторами, не являющимися органами, указанными в пункте 2 статьи 265 Бюджетного кодекса Российской Федерации;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- нарушения в части организации и осуществления ВФА за отчетный финансовый год, выявленные Счетной палатой Российской Федерации и Федеральным казначейством, информация о которых отражается главными администраторами при формировании Сведений № 11 (далее – нарушения в части ВФА).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683F">
        <w:rPr>
          <w:rFonts w:ascii="Times New Roman" w:hAnsi="Times New Roman" w:cs="Times New Roman"/>
          <w:sz w:val="24"/>
          <w:szCs w:val="24"/>
        </w:rPr>
        <w:t>При этом в случае если в соответствии с пунктом 4 статьи 157 Бюджетного кодекса Российской Федерации анализ Федеральным казначейством не проводился в отношении главного администратора, то оценка уровня зрелости ВФА рассчитывается на основании наличия (отсутствия) нарушений в части ВФА.</w:t>
      </w:r>
    </w:p>
    <w:p w:rsidR="00B3683F" w:rsidRPr="00B3683F" w:rsidRDefault="00B3683F" w:rsidP="00B3683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83F">
        <w:rPr>
          <w:rFonts w:ascii="Times New Roman" w:hAnsi="Times New Roman" w:cs="Times New Roman"/>
          <w:sz w:val="24"/>
          <w:szCs w:val="24"/>
        </w:rPr>
        <w:t>Кроме того, Министерство финансов Российской Федерации обращает внимание, что в целях реализации пункта 26(2) Перечня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 информационно-телекоммуникационной сети «Интернет», утвержденного постановлением Правительства Российской Федерации от 24.11.2009 № 953, в ГИИС «Электронный бюджет» реализована выгрузка</w:t>
      </w:r>
      <w:proofErr w:type="gramEnd"/>
      <w:r w:rsidRPr="00B3683F">
        <w:rPr>
          <w:rFonts w:ascii="Times New Roman" w:hAnsi="Times New Roman" w:cs="Times New Roman"/>
          <w:sz w:val="24"/>
          <w:szCs w:val="24"/>
        </w:rPr>
        <w:t xml:space="preserve"> Формы сведений о КФМ для целей размещения в информационно-телекоммуникационной сети «Интернет», утвержденной приложением № 1 к приказу Министерства финансов Российской Федерации от 27.07.2018 № 158н.</w:t>
      </w:r>
    </w:p>
    <w:p w:rsidR="00B3683F" w:rsidRP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</w:rPr>
      </w:pPr>
    </w:p>
    <w:p w:rsidR="00B3683F" w:rsidRP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3683F">
        <w:rPr>
          <w:rFonts w:ascii="Times New Roman" w:hAnsi="Times New Roman" w:cs="Times New Roman"/>
          <w:sz w:val="24"/>
          <w:szCs w:val="24"/>
          <w:lang w:val="en-US"/>
        </w:rPr>
        <w:t>А.М. Лавров</w:t>
      </w:r>
    </w:p>
    <w:p w:rsidR="00B3683F" w:rsidRP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P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Pr="00B3683F" w:rsidRDefault="00B3683F" w:rsidP="00B3683F">
      <w:pPr>
        <w:ind w:firstLine="127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3683F" w:rsidRPr="00B3683F" w:rsidRDefault="00B3683F" w:rsidP="00B3683F">
      <w:pPr>
        <w:ind w:firstLine="1276"/>
        <w:jc w:val="center"/>
        <w:rPr>
          <w:rFonts w:ascii="Times New Roman" w:hAnsi="Times New Roman" w:cs="Times New Roman"/>
          <w:color w:val="2A3143"/>
          <w:sz w:val="24"/>
          <w:szCs w:val="24"/>
          <w:shd w:val="clear" w:color="auto" w:fill="FFFFFF"/>
        </w:rPr>
      </w:pPr>
      <w:r w:rsidRPr="00B3683F">
        <w:rPr>
          <w:rFonts w:ascii="Times New Roman" w:hAnsi="Times New Roman" w:cs="Times New Roman"/>
          <w:color w:val="2A3143"/>
          <w:sz w:val="24"/>
          <w:szCs w:val="24"/>
          <w:shd w:val="clear" w:color="auto" w:fill="FFFFFF"/>
        </w:rPr>
        <w:lastRenderedPageBreak/>
        <w:t>Приложение к письму Министерства финансов Российской Федерации</w:t>
      </w:r>
    </w:p>
    <w:p w:rsidR="00B3683F" w:rsidRPr="00B3683F" w:rsidRDefault="00B3683F" w:rsidP="00B3683F">
      <w:pPr>
        <w:ind w:firstLine="1276"/>
        <w:jc w:val="center"/>
        <w:rPr>
          <w:rFonts w:ascii="Times New Roman" w:hAnsi="Times New Roman" w:cs="Times New Roman"/>
          <w:color w:val="2A3143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5"/>
        <w:gridCol w:w="1935"/>
        <w:gridCol w:w="5177"/>
      </w:tblGrid>
      <w:tr w:rsidR="00B3683F" w:rsidRPr="00B3683F" w:rsidTr="00B3683F">
        <w:trPr>
          <w:tblHeader/>
        </w:trPr>
        <w:tc>
          <w:tcPr>
            <w:tcW w:w="0" w:type="auto"/>
            <w:shd w:val="clear" w:color="auto" w:fill="FFFFFF"/>
            <w:tcMar>
              <w:top w:w="155" w:type="dxa"/>
              <w:left w:w="0" w:type="dxa"/>
              <w:bottom w:w="210" w:type="dxa"/>
              <w:right w:w="222" w:type="dxa"/>
            </w:tcMar>
            <w:vAlign w:val="bottom"/>
            <w:hideMark/>
          </w:tcPr>
          <w:p w:rsidR="00B3683F" w:rsidRPr="00B3683F" w:rsidRDefault="00B3683F" w:rsidP="00B3683F">
            <w:pPr>
              <w:spacing w:after="0" w:line="155" w:lineRule="atLeast"/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  <w:t>НАПРАВЛЕНИЕ (ГРУППА) ПОКАЗАТЕЛЕЙ</w:t>
            </w:r>
          </w:p>
        </w:tc>
        <w:tc>
          <w:tcPr>
            <w:tcW w:w="0" w:type="auto"/>
            <w:shd w:val="clear" w:color="auto" w:fill="FFFFFF"/>
            <w:tcMar>
              <w:top w:w="155" w:type="dxa"/>
              <w:left w:w="0" w:type="dxa"/>
              <w:bottom w:w="210" w:type="dxa"/>
              <w:right w:w="222" w:type="dxa"/>
            </w:tcMar>
            <w:vAlign w:val="bottom"/>
            <w:hideMark/>
          </w:tcPr>
          <w:p w:rsidR="00B3683F" w:rsidRPr="00B3683F" w:rsidRDefault="00B3683F" w:rsidP="00B3683F">
            <w:pPr>
              <w:spacing w:after="0" w:line="155" w:lineRule="atLeast"/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auto" w:fill="FFFFFF"/>
            <w:tcMar>
              <w:top w:w="155" w:type="dxa"/>
              <w:left w:w="0" w:type="dxa"/>
              <w:bottom w:w="210" w:type="dxa"/>
              <w:right w:w="222" w:type="dxa"/>
            </w:tcMar>
            <w:vAlign w:val="bottom"/>
            <w:hideMark/>
          </w:tcPr>
          <w:p w:rsidR="00B3683F" w:rsidRPr="00B3683F" w:rsidRDefault="00B3683F" w:rsidP="00B3683F">
            <w:pPr>
              <w:spacing w:after="0" w:line="155" w:lineRule="atLeast"/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aps/>
                <w:color w:val="7F838E"/>
                <w:spacing w:val="11"/>
                <w:sz w:val="24"/>
                <w:szCs w:val="24"/>
                <w:lang w:eastAsia="ru-RU"/>
              </w:rPr>
              <w:t>ДЕТАЛИЗАЦИЯ ПЕРЕМЕННЫХ, ИСПОЛЬЗУЕМЫХ ДЛЯ РАСЧЕТА</w:t>
            </w:r>
          </w:p>
        </w:tc>
      </w:tr>
      <w:tr w:rsidR="00B3683F" w:rsidRPr="00B3683F" w:rsidTr="00B3683F">
        <w:tc>
          <w:tcPr>
            <w:tcW w:w="0" w:type="auto"/>
            <w:vMerge w:val="restart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Показатели качества управления доходами бюджета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1, 12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подгруппе видов доходов 1 08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подгруппам видов доходов 1 08, 1 11, 1 13 (за исключением 1 13 02), 1 14, 1 16 по счету бюджетного учета 1.303.05 (в целом)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подгруппам видов доходов 1 08, 1 11, 1 13 (за исключением 1 13 02), 1 14, 1 16 по счетам бюджетного учета 1.205.00 (за исключением 1.205.10, 1.205.23 и 1.205.60) и 1.209.00 (в целом) – в части дебиторской задолженности по доходам федерального бюджета; по подгруппам видов доходов 1 08, 1 11, 1 13 (за исключением 1 13 02), 1 14, 1 16 – в части кассового исполнения по доходам федерального бюджета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подгруппам видов доходов 1 08, 1 11, 1 13 (за исключением 1 13 02), 1 14, 1 16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В разрезе забалансового счета 04 и счетов бюджетного учета 1.205.00, 1.209.00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8, 13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подгруппе видов доходов 1 11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9, 14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подгруппе видов доходов 1 13 (за исключением 1 13 02)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10, 15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подгруппе видов доходов 1 14</w:t>
            </w:r>
          </w:p>
        </w:tc>
      </w:tr>
      <w:tr w:rsidR="00B3683F" w:rsidRPr="00B3683F" w:rsidTr="00B368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3683F" w:rsidRPr="00B3683F" w:rsidRDefault="00B3683F" w:rsidP="00B36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11, 16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B3683F" w:rsidRPr="00B3683F" w:rsidRDefault="00B3683F" w:rsidP="00B3683F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B3683F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По подгруппе видов доходов 1 16</w:t>
            </w:r>
          </w:p>
        </w:tc>
      </w:tr>
    </w:tbl>
    <w:p w:rsidR="00B3683F" w:rsidRPr="00B3683F" w:rsidRDefault="00B3683F" w:rsidP="00B3683F">
      <w:pPr>
        <w:ind w:firstLine="127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3683F" w:rsidRPr="00B3683F" w:rsidSect="0025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3683F"/>
    <w:rsid w:val="0025223A"/>
    <w:rsid w:val="00B3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3A"/>
  </w:style>
  <w:style w:type="paragraph" w:styleId="1">
    <w:name w:val="heading 1"/>
    <w:basedOn w:val="a"/>
    <w:link w:val="10"/>
    <w:uiPriority w:val="9"/>
    <w:qFormat/>
    <w:rsid w:val="00B3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2312</Words>
  <Characters>13184</Characters>
  <Application>Microsoft Office Word</Application>
  <DocSecurity>0</DocSecurity>
  <Lines>109</Lines>
  <Paragraphs>30</Paragraphs>
  <ScaleCrop>false</ScaleCrop>
  <Company>Krokoz™</Company>
  <LinksUpToDate>false</LinksUpToDate>
  <CharactersWithSpaces>15466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2023-12-06T04:56:00Z</dcterms:created>
  <dcterms:modified xsi:type="dcterms:W3CDTF">2023-12-06T05:07:00Z</dcterms:modified>
</cp:coreProperties>
</file>