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87" w:rsidRPr="000E4587" w:rsidRDefault="000E4587" w:rsidP="000E458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0E4587" w:rsidRPr="000E4587" w:rsidRDefault="000E4587" w:rsidP="000E458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0E4587" w:rsidRPr="000E4587" w:rsidRDefault="000E4587" w:rsidP="000E4587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587">
        <w:rPr>
          <w:rFonts w:ascii="Times New Roman" w:hAnsi="Times New Roman" w:cs="Times New Roman"/>
          <w:b/>
          <w:sz w:val="24"/>
          <w:szCs w:val="24"/>
        </w:rPr>
        <w:t xml:space="preserve">от 9 января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0E4587">
        <w:rPr>
          <w:rFonts w:ascii="Times New Roman" w:hAnsi="Times New Roman" w:cs="Times New Roman"/>
          <w:b/>
          <w:sz w:val="24"/>
          <w:szCs w:val="24"/>
        </w:rPr>
        <w:t xml:space="preserve"> 02-17-10/360 "О перечислении неустойки по государственному (муниципальному) контракту, контракту (договору) с лицевого счета участника казначейского сопровождения на его расчетный счет в кредитной организации"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 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587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8 декабря 2023 г., направленное письмом от 12 декабря 2023 г., по вопросу возможности перечисления остатка средств, возникшего в результате удержания неустойки, с лицевого счета участника казначейского сопровождения, открытого автономной некоммерческой организации в территориальном органе Федерального казначейства, на ее расчетный счет, открытый</w:t>
      </w:r>
      <w:proofErr w:type="gramEnd"/>
      <w:r w:rsidRPr="000E4587">
        <w:rPr>
          <w:rFonts w:ascii="Times New Roman" w:hAnsi="Times New Roman" w:cs="Times New Roman"/>
          <w:sz w:val="24"/>
          <w:szCs w:val="24"/>
        </w:rPr>
        <w:t xml:space="preserve"> в кредитной организации (далее соответственно - лицевой счет, расчетный счет), и сообщает.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</w:t>
      </w:r>
      <w:proofErr w:type="gramStart"/>
      <w:r w:rsidRPr="000E4587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0E4587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587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  <w:proofErr w:type="gramEnd"/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 xml:space="preserve">В соответствии со статьей 4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рассмотрению подлежат следующие виды обращений граждан: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lastRenderedPageBreak/>
        <w:t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Содержащийся в обращении вопрос не соответствует приведенным видам обращений граждан, подлежащих рассмотрению федеральными органами государственной власти, и касается деятельности организации и исполнения бюджета. В этой связи, по мнению Департамента, обращение должно быть оформлено на бланке организации и подписано руководителем или иным должностным лицом, уполномоченным действовать от имени организации.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Уплата поставщиком (подрядчиком, исполнителем) неустойки (штрафа, пени) является мерой ответственности за неисполнение или ненадлежащее исполнение им условий гражданско-правовой сделки.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 xml:space="preserve">Доходы в виде подлежащих уплате должником за нарушение договорных обязательств сумм возмещения убытков согласно пункту 3 статьи 250 Налогового кодекса Российской Федерации относятся к </w:t>
      </w:r>
      <w:proofErr w:type="spellStart"/>
      <w:r w:rsidRPr="000E4587">
        <w:rPr>
          <w:rFonts w:ascii="Times New Roman" w:hAnsi="Times New Roman" w:cs="Times New Roman"/>
          <w:sz w:val="24"/>
          <w:szCs w:val="24"/>
        </w:rPr>
        <w:t>внереализационным</w:t>
      </w:r>
      <w:proofErr w:type="spellEnd"/>
      <w:r w:rsidRPr="000E4587">
        <w:rPr>
          <w:rFonts w:ascii="Times New Roman" w:hAnsi="Times New Roman" w:cs="Times New Roman"/>
          <w:sz w:val="24"/>
          <w:szCs w:val="24"/>
        </w:rPr>
        <w:t xml:space="preserve"> доходам.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Согласно положениям статьи 41 Бюджетного кодекса Российской Федерации (далее - Бюджетный кодекс) средства от применения мер гражданско-правовой ответственности, в случае если стороной договора является получатель бюджетных средств, действующий от имени публично-правового образования, относятся к неналоговым доходам бюджетов бюджетной системы Российской Федерации и подлежат зачислению в соответствующий бюджет.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587">
        <w:rPr>
          <w:rFonts w:ascii="Times New Roman" w:hAnsi="Times New Roman" w:cs="Times New Roman"/>
          <w:sz w:val="24"/>
          <w:szCs w:val="24"/>
        </w:rPr>
        <w:t xml:space="preserve">Вышеприведенные положения Бюджетного кодекса не распространяются на юридических лиц, не являющихся в соответствии с бюджетным законодательством Российской Федерации и Федеральным законом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получателями бюджетных средств, государственными заказчиками и не имеющих полномочий на заключение государственных контрактов.</w:t>
      </w:r>
      <w:proofErr w:type="gramEnd"/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587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242.23 Бюджетного кодекса операции с целевыми средствами осуществляются на казначейских счетах, открытых в территориальных органах Федерального казначейства, и отражаются на лицевых счетах после проведения территориальным органом Федерального казначейства санкционирования в соответствии с Порядком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214н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утвержденный приказом Министерства финансов Российской Федерации от 17</w:t>
      </w:r>
      <w:proofErr w:type="gramEnd"/>
      <w:r w:rsidRPr="000E4587">
        <w:rPr>
          <w:rFonts w:ascii="Times New Roman" w:hAnsi="Times New Roman" w:cs="Times New Roman"/>
          <w:sz w:val="24"/>
          <w:szCs w:val="24"/>
        </w:rPr>
        <w:t xml:space="preserve">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214н (далее - Порядок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214н).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587">
        <w:rPr>
          <w:rFonts w:ascii="Times New Roman" w:hAnsi="Times New Roman" w:cs="Times New Roman"/>
          <w:sz w:val="24"/>
          <w:szCs w:val="24"/>
        </w:rPr>
        <w:t xml:space="preserve">Согласно пунктам 4 и 21 Порядка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214н санкционирование расходов, источником финансового обеспечения которых являются целевые средства, связанных с </w:t>
      </w:r>
      <w:r w:rsidRPr="000E4587">
        <w:rPr>
          <w:rFonts w:ascii="Times New Roman" w:hAnsi="Times New Roman" w:cs="Times New Roman"/>
          <w:sz w:val="24"/>
          <w:szCs w:val="24"/>
        </w:rPr>
        <w:lastRenderedPageBreak/>
        <w:t>поставкой товаров (выполнением работ, оказанием услуг), осуществляется в соответствии со Сведениями об операциях с целевыми средствами на 20__ год и на плановый период 20__ - 20__ годов (далее - Сведения) при представлении участником казначейского сопровождения в территориальный орган Федерального казначейства вместе с распоряжением о</w:t>
      </w:r>
      <w:proofErr w:type="gramEnd"/>
      <w:r w:rsidRPr="000E45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4587">
        <w:rPr>
          <w:rFonts w:ascii="Times New Roman" w:hAnsi="Times New Roman" w:cs="Times New Roman"/>
          <w:sz w:val="24"/>
          <w:szCs w:val="24"/>
        </w:rPr>
        <w:t>совершении</w:t>
      </w:r>
      <w:proofErr w:type="gramEnd"/>
      <w:r w:rsidRPr="000E4587">
        <w:rPr>
          <w:rFonts w:ascii="Times New Roman" w:hAnsi="Times New Roman" w:cs="Times New Roman"/>
          <w:sz w:val="24"/>
          <w:szCs w:val="24"/>
        </w:rPr>
        <w:t xml:space="preserve"> казначейского платежа на оплату указанных расходов (далее - распоряжение) контракта (договора) и документов, подтверждающих возникновение денежного обязательства.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В Сведениях указываются источники поступлений целевых сре</w:t>
      </w:r>
      <w:proofErr w:type="gramStart"/>
      <w:r w:rsidRPr="000E4587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0E4587">
        <w:rPr>
          <w:rFonts w:ascii="Times New Roman" w:hAnsi="Times New Roman" w:cs="Times New Roman"/>
          <w:sz w:val="24"/>
          <w:szCs w:val="24"/>
        </w:rPr>
        <w:t xml:space="preserve">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 к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214н, а также направления их расходования согласно приложению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3 к Порядку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E4587">
        <w:rPr>
          <w:rFonts w:ascii="Times New Roman" w:hAnsi="Times New Roman" w:cs="Times New Roman"/>
          <w:sz w:val="24"/>
          <w:szCs w:val="24"/>
        </w:rPr>
        <w:t xml:space="preserve"> 214н, соответствующие результатам (предмету) и условиям контракта (договора).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Учитывая изложенное, Департамент считает возможным перечисление неустойки с лицевого счета участника казначейского сопровождения на его расчетный счет, при условии представления документов, подтверждающих исполнение обязательств по контракту, условиями которого предусмотрено право заказчика на удержание суммы неустойки. При этом в Сведениях указывается укрупненный код направления расходования целевых средств 0991 "Выплаты по окончательным расчетам", в распоряжении указывается детализированный код направления расходования целевых средств 0991 001 "Выплаты по окончательным расчетам, осуществляемые после исполнения участником казначейского сопровождения всех обязательств по государственному (муниципальному) контракту, контракту (договору)".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 </w:t>
      </w:r>
    </w:p>
    <w:p w:rsidR="000E4587" w:rsidRPr="000E4587" w:rsidRDefault="000E4587" w:rsidP="000E4587">
      <w:pPr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0E4587" w:rsidRPr="000E4587" w:rsidRDefault="000E4587" w:rsidP="000E4587">
      <w:pPr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С.В.РОМАНОВ</w:t>
      </w:r>
    </w:p>
    <w:p w:rsidR="000E4587" w:rsidRPr="000E4587" w:rsidRDefault="000E4587" w:rsidP="000E4587">
      <w:pPr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09.01.2024</w:t>
      </w:r>
    </w:p>
    <w:p w:rsidR="000E4587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 </w:t>
      </w:r>
    </w:p>
    <w:p w:rsidR="00530572" w:rsidRPr="000E4587" w:rsidRDefault="000E4587" w:rsidP="000E4587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0E4587">
        <w:rPr>
          <w:rFonts w:ascii="Times New Roman" w:hAnsi="Times New Roman" w:cs="Times New Roman"/>
          <w:sz w:val="24"/>
          <w:szCs w:val="24"/>
        </w:rPr>
        <w:t> </w:t>
      </w:r>
    </w:p>
    <w:sectPr w:rsidR="00530572" w:rsidRPr="000E4587" w:rsidSect="0053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587"/>
    <w:rsid w:val="000E4587"/>
    <w:rsid w:val="00530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5820</Characters>
  <Application>Microsoft Office Word</Application>
  <DocSecurity>0</DocSecurity>
  <Lines>48</Lines>
  <Paragraphs>13</Paragraphs>
  <ScaleCrop>false</ScaleCrop>
  <Company>Krokoz™</Company>
  <LinksUpToDate>false</LinksUpToDate>
  <CharactersWithSpaces>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2024-06-24T07:49:00Z</dcterms:created>
  <dcterms:modified xsi:type="dcterms:W3CDTF">2024-06-24T07:55:00Z</dcterms:modified>
</cp:coreProperties>
</file>