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42EB" w:rsidRPr="00AB42EB" w:rsidRDefault="00AB42EB" w:rsidP="00AB42EB">
      <w:pPr>
        <w:ind w:firstLine="1276"/>
        <w:jc w:val="center"/>
        <w:rPr>
          <w:rFonts w:ascii="Times New Roman" w:hAnsi="Times New Roman" w:cs="Times New Roman"/>
          <w:b/>
          <w:sz w:val="32"/>
          <w:szCs w:val="32"/>
        </w:rPr>
      </w:pPr>
      <w:r w:rsidRPr="00AB42EB">
        <w:rPr>
          <w:rFonts w:ascii="Times New Roman" w:hAnsi="Times New Roman" w:cs="Times New Roman"/>
          <w:b/>
          <w:sz w:val="32"/>
          <w:szCs w:val="32"/>
        </w:rPr>
        <w:t>МИНИСТЕРСТВО ФИНАНСОВ РОССИЙСКОЙ ФЕДЕРАЦИИ</w:t>
      </w:r>
    </w:p>
    <w:p w:rsidR="00AB42EB" w:rsidRPr="00AB42EB" w:rsidRDefault="00AB42EB" w:rsidP="00AB42EB">
      <w:pPr>
        <w:ind w:firstLine="1276"/>
        <w:jc w:val="center"/>
        <w:rPr>
          <w:rFonts w:ascii="Times New Roman" w:hAnsi="Times New Roman" w:cs="Times New Roman"/>
          <w:b/>
          <w:sz w:val="32"/>
          <w:szCs w:val="32"/>
        </w:rPr>
      </w:pPr>
    </w:p>
    <w:p w:rsidR="00AB42EB" w:rsidRPr="00AB42EB" w:rsidRDefault="00AB42EB" w:rsidP="00AB42EB">
      <w:pPr>
        <w:ind w:firstLine="1276"/>
        <w:jc w:val="center"/>
        <w:rPr>
          <w:rFonts w:ascii="Times New Roman" w:hAnsi="Times New Roman" w:cs="Times New Roman"/>
          <w:b/>
          <w:sz w:val="32"/>
          <w:szCs w:val="32"/>
        </w:rPr>
      </w:pPr>
      <w:r w:rsidRPr="00AB42EB">
        <w:rPr>
          <w:rFonts w:ascii="Times New Roman" w:hAnsi="Times New Roman" w:cs="Times New Roman"/>
          <w:b/>
          <w:sz w:val="32"/>
          <w:szCs w:val="32"/>
        </w:rPr>
        <w:t>ПИСЬМО</w:t>
      </w:r>
    </w:p>
    <w:p w:rsidR="00AB42EB" w:rsidRPr="00AB42EB" w:rsidRDefault="00AB42EB" w:rsidP="00AB42EB">
      <w:pPr>
        <w:ind w:firstLine="1276"/>
        <w:jc w:val="center"/>
        <w:rPr>
          <w:rFonts w:ascii="Times New Roman" w:hAnsi="Times New Roman" w:cs="Times New Roman"/>
          <w:b/>
          <w:sz w:val="32"/>
          <w:szCs w:val="32"/>
        </w:rPr>
      </w:pPr>
      <w:r w:rsidRPr="00AB42EB">
        <w:rPr>
          <w:rFonts w:ascii="Times New Roman" w:hAnsi="Times New Roman" w:cs="Times New Roman"/>
          <w:b/>
          <w:sz w:val="32"/>
          <w:szCs w:val="32"/>
        </w:rPr>
        <w:t xml:space="preserve">от 22 августа 2024 г. </w:t>
      </w:r>
      <w:r w:rsidRPr="00AB42EB">
        <w:rPr>
          <w:rFonts w:ascii="Times New Roman" w:hAnsi="Times New Roman" w:cs="Times New Roman"/>
          <w:b/>
          <w:sz w:val="32"/>
          <w:szCs w:val="32"/>
        </w:rPr>
        <w:t>№</w:t>
      </w:r>
      <w:r w:rsidRPr="00AB42EB">
        <w:rPr>
          <w:rFonts w:ascii="Times New Roman" w:hAnsi="Times New Roman" w:cs="Times New Roman"/>
          <w:b/>
          <w:sz w:val="32"/>
          <w:szCs w:val="32"/>
        </w:rPr>
        <w:t xml:space="preserve"> 02-11-13/</w:t>
      </w:r>
      <w:bookmarkStart w:id="0" w:name="_GoBack"/>
      <w:r w:rsidRPr="00AB42EB">
        <w:rPr>
          <w:rFonts w:ascii="Times New Roman" w:hAnsi="Times New Roman" w:cs="Times New Roman"/>
          <w:b/>
          <w:sz w:val="32"/>
          <w:szCs w:val="32"/>
        </w:rPr>
        <w:t>79575</w:t>
      </w:r>
      <w:bookmarkEnd w:id="0"/>
      <w:r w:rsidRPr="00AB42EB">
        <w:rPr>
          <w:rFonts w:ascii="Times New Roman" w:hAnsi="Times New Roman" w:cs="Times New Roman"/>
          <w:b/>
          <w:sz w:val="32"/>
          <w:szCs w:val="32"/>
        </w:rPr>
        <w:t xml:space="preserve"> "Об исполнении денежных обязательств по выплате аванса по контракту, если его сумма превышает доведенные лимиты бюджетных обязательств"</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lang w:val="en-US"/>
        </w:rPr>
        <w:t> </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Департамент бюджетной методологии Министерства финансов Российской Федерации (далее - Департамент) рассмотрел обращение от 24 июля 2024 г. по вопросу внесения изменений в Постановление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50 "О приостановлении действия абзаца четвертого подпункта "а" и подпункта "б" пункта 18 Положения о мерах по обеспечению исполнения федерального бюджета и установлении размеров авансовых платежей при заключении государственных (муниципальных) контрактов в 2024 году" (далее - Постановление № 50) и сообщает.</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Положением о Министерстве финансов Российской Федерации, утвержденным постановлением Правительства Российской Федерации от 30 июня 2004 г.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329, установлено, что Министерство финансов Российской Федерации не уполномочено давать разъяснения законодательных и иных нормативных правовых актов Российской Федерации и практики их применения.</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Согласно пункту 11.8 Регламента Министерства финансов Российской Федерации, утвержденного приказом Министерства финансов Российской Федерации от 14 сентября 2018 г.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194н, Министерством не рассматриваются по существу обращения организаций по проведению экспертиз договоров, учредительных и иных документов организаций, а также по оценке конкретных хозяйственных ситуаций.</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В соответствии с положениями Федерального закона от 2 мая 2006 г.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59-ФЗ "О порядке рассмотрения обращений граждан Российской Федерации" (далее - Федеральный закон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59-ФЗ) обращение гражданина направляется в государственный орган, орган местного самоуправления или должностному лицу в письменной форме или в форме электронного документа, содержащего:</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предложения по совершенствованию законов и иных нормативных правовых актов, деятельности государственных органов и органов местного самоуправления, развитию общественных отношений, улучшению социально-экономической и иных сфер деятельности государства и общества;</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заявление о содействии в реализации его конституционных прав и свобод или конституционных прав и свобод других лиц, либо сообщение о нарушении законов и иных нормативных правовых актов, недостатках в работе государственных органов, органов местного самоуправления и должностных лиц, либо критику деятельности указанных органов и должностных лиц;</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lastRenderedPageBreak/>
        <w:t>жалобу о восстановлении или защите его нарушенных прав, свобод или законных интересов либо прав, свобод или законных интересов других лиц.</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Обращение не содержит предложения, заявления или жалобы, соответствующие вышеизложенным требованиям Федерального закона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59-ФЗ.</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Кроме того, учитывая, что вопрос, указанный в обращении, связан с организацией исполнения бюджета, по мнению Департамента, обращение должно быть оформлено на бланке организации с установленным составом реквизитов, включая регистрационный номер документа, и подписано лицом, уполномоченным на его подписание от имени организации.</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Вместе с тем Департамент считает возможным высказать мнение по поставленному в обращении вопросу.</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Согласно статье 34 Федерального закона от 5 апреля 2013 г.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 государственный контракт на поставку товаров, выполнение работ, оказание услуг включается условие о порядке и сроках оплаты товара, работы или услуги, в том числе аванса при исполнении контракта (далее соответственно - Закон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44-ФЗ, контракт).</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В соответствии с положениями части 1 статьи 94 Закона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44-ФЗ исполнение контракта включает в себя комплекс мер, реализуемых после заключения контракта, в том числе:</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приемку поставленного товара, выполненной работы (ее результатов), оказанной услуги, отдельных этапов исполнения контракта, предусмотренных контрактом;</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оплату заказчиком поставщику (подрядчику, исполнителю) поставленного товара, выполненной работы (ее результатов), оказанной услуги, а также отдельных этапов исполнения контракта.</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При этом поставщик (подрядчик, исполнитель) к установленному контрактом сроку обязан предоставить заказчику результаты поставки товара, выполнения работы или оказания услуги, предусмотренные контрактом.</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Положениями части 7 статьи 94 Закона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44-ФЗ установлено, что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В силу положений статьи 219 Бюджетного кодекса Российской Федерации исполнение бюджета по расходам предусматривает в том числе учет денежных обязательств, а также подтверждение денежного обязательства.</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Получатель бюджетных средств подтверждает обязанность оплатить за счет средств бюджета денежные обязательства в соответствии с распоряжениями и иными документами, необходимыми для санкционирования их оплаты.</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Положениями пункта 23 Порядка учета бюджетных и денежных обязательств получателей средств федерального бюджета территориальными органами Федерального казначейства, утвержденного приказом Министерства финансов Российской Федерации от 30 октября 2020 г.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258н, установлено, что, в случае если в рамках принятых бюджетных </w:t>
      </w:r>
      <w:r w:rsidRPr="00AB42EB">
        <w:rPr>
          <w:rFonts w:ascii="Times New Roman" w:hAnsi="Times New Roman" w:cs="Times New Roman"/>
          <w:sz w:val="24"/>
          <w:szCs w:val="24"/>
        </w:rPr>
        <w:lastRenderedPageBreak/>
        <w:t>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подтверждены,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Таким образом, в силу </w:t>
      </w:r>
      <w:proofErr w:type="gramStart"/>
      <w:r w:rsidRPr="00AB42EB">
        <w:rPr>
          <w:rFonts w:ascii="Times New Roman" w:hAnsi="Times New Roman" w:cs="Times New Roman"/>
          <w:sz w:val="24"/>
          <w:szCs w:val="24"/>
        </w:rPr>
        <w:t>положений</w:t>
      </w:r>
      <w:proofErr w:type="gramEnd"/>
      <w:r w:rsidRPr="00AB42EB">
        <w:rPr>
          <w:rFonts w:ascii="Times New Roman" w:hAnsi="Times New Roman" w:cs="Times New Roman"/>
          <w:sz w:val="24"/>
          <w:szCs w:val="24"/>
        </w:rPr>
        <w:t xml:space="preserve"> указанных нормативных правовых актов исполнение денежных обязательств по контракту, следующих после частичной выплаты авансового платежа, возможно после осуществления приемки получателем средств федерального бюджета (государственным заказчиком) поставленного товара, выполненной работы (ее результатов), оказанной услуги в рамках ранее произведенной выплаты.</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Размеры авансовых платежей для заключаемых в 2024 году контрактов, средства на финансовое обеспечение которых подлежат казначейскому сопровождению в соответствии с бюджетным законодательством Российской Федерации, установлены пунктом 2 Постановления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50 - в размере от 30 до 50 процентов суммы контракта, но не более лимитов бюджетных обязательств, доведенных до получателей средств федерального бюджета на указанные цели на соответствующий финансовый год.</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При этом получатель бюджетных средств исполняет денежное обязательство, в том числе связанное с выплатой аванса по контракту, в пределах доведенных лимитов бюджетных обязательств.</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В случае если сумма авансового платежа по контракту превышает объем доведенных до получателя средств федерального бюджета лимитов бюджетных обязательств текущего финансового года, то денежное обязательство, связанное с выплатой авансового платежа, не может быть исполнено в полном объеме.</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В этой связи в целях ускорения процедуры оплаты соответствующих денежных обязательств нормами абзаца второго пункта 2 Постановления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50 установлено, что, в случае если исполнение контракта осуществляется в 2024 году и последующих годах и соответствующих лимитов бюджетных обязательств, доведенных до получателя средств федерального бюджета, недостаточно для выплаты авансового платежа в 2024 году, в контракте предусматривается условие о выплате части такого авансового платежа в оставшемся размере не позднее 1 февраля очередного финансового года без подтверждения поставки товаров (выполнения работ, оказания услуг) в объеме ранее выплаченного авансового платежа.</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rPr>
        <w:t xml:space="preserve">Учитывая изложенное, по мнению Департамента, внесение изменений в Постановление </w:t>
      </w:r>
      <w:r w:rsidRPr="00AB42EB">
        <w:rPr>
          <w:rFonts w:ascii="Times New Roman" w:hAnsi="Times New Roman" w:cs="Times New Roman"/>
          <w:sz w:val="24"/>
          <w:szCs w:val="24"/>
        </w:rPr>
        <w:t>№</w:t>
      </w:r>
      <w:r w:rsidRPr="00AB42EB">
        <w:rPr>
          <w:rFonts w:ascii="Times New Roman" w:hAnsi="Times New Roman" w:cs="Times New Roman"/>
          <w:sz w:val="24"/>
          <w:szCs w:val="24"/>
        </w:rPr>
        <w:t xml:space="preserve"> 50 не требуется.</w:t>
      </w:r>
    </w:p>
    <w:p w:rsidR="00AB42EB" w:rsidRPr="00AB42EB" w:rsidRDefault="00AB42EB" w:rsidP="00AB42EB">
      <w:pPr>
        <w:ind w:firstLine="1276"/>
        <w:jc w:val="both"/>
        <w:rPr>
          <w:rFonts w:ascii="Times New Roman" w:hAnsi="Times New Roman" w:cs="Times New Roman"/>
          <w:sz w:val="24"/>
          <w:szCs w:val="24"/>
        </w:rPr>
      </w:pPr>
      <w:r w:rsidRPr="00AB42EB">
        <w:rPr>
          <w:rFonts w:ascii="Times New Roman" w:hAnsi="Times New Roman" w:cs="Times New Roman"/>
          <w:sz w:val="24"/>
          <w:szCs w:val="24"/>
          <w:lang w:val="en-US"/>
        </w:rPr>
        <w:t> </w:t>
      </w:r>
    </w:p>
    <w:p w:rsidR="00AB42EB" w:rsidRPr="00AB42EB" w:rsidRDefault="00AB42EB" w:rsidP="00AB42EB">
      <w:pPr>
        <w:jc w:val="both"/>
        <w:rPr>
          <w:rFonts w:ascii="Times New Roman" w:hAnsi="Times New Roman" w:cs="Times New Roman"/>
          <w:sz w:val="24"/>
          <w:szCs w:val="24"/>
        </w:rPr>
      </w:pPr>
      <w:r w:rsidRPr="00AB42EB">
        <w:rPr>
          <w:rFonts w:ascii="Times New Roman" w:hAnsi="Times New Roman" w:cs="Times New Roman"/>
          <w:sz w:val="24"/>
          <w:szCs w:val="24"/>
        </w:rPr>
        <w:t>Заместитель директора Департамента</w:t>
      </w:r>
    </w:p>
    <w:p w:rsidR="00AB42EB" w:rsidRPr="00AB42EB" w:rsidRDefault="00AB42EB" w:rsidP="00AB42EB">
      <w:pPr>
        <w:jc w:val="both"/>
        <w:rPr>
          <w:rFonts w:ascii="Times New Roman" w:hAnsi="Times New Roman" w:cs="Times New Roman"/>
          <w:sz w:val="24"/>
          <w:szCs w:val="24"/>
        </w:rPr>
      </w:pPr>
      <w:r w:rsidRPr="00AB42EB">
        <w:rPr>
          <w:rFonts w:ascii="Times New Roman" w:hAnsi="Times New Roman" w:cs="Times New Roman"/>
          <w:sz w:val="24"/>
          <w:szCs w:val="24"/>
        </w:rPr>
        <w:t>И.Ю.ЯЙЛОЯН</w:t>
      </w:r>
    </w:p>
    <w:p w:rsidR="0002107A" w:rsidRPr="00AB42EB" w:rsidRDefault="00AB42EB" w:rsidP="00AB42EB">
      <w:pPr>
        <w:jc w:val="both"/>
        <w:rPr>
          <w:rFonts w:ascii="Times New Roman" w:hAnsi="Times New Roman" w:cs="Times New Roman"/>
          <w:sz w:val="24"/>
          <w:szCs w:val="24"/>
          <w:lang w:val="en-US"/>
        </w:rPr>
      </w:pPr>
      <w:r w:rsidRPr="00AB42EB">
        <w:rPr>
          <w:rFonts w:ascii="Times New Roman" w:hAnsi="Times New Roman" w:cs="Times New Roman"/>
          <w:sz w:val="24"/>
          <w:szCs w:val="24"/>
          <w:lang w:val="en-US"/>
        </w:rPr>
        <w:t>22.08.2024</w:t>
      </w:r>
    </w:p>
    <w:sectPr w:rsidR="0002107A" w:rsidRPr="00AB42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053"/>
    <w:rsid w:val="0002107A"/>
    <w:rsid w:val="00AB42EB"/>
    <w:rsid w:val="00B07053"/>
    <w:rsid w:val="00DF0B94"/>
    <w:rsid w:val="00E52B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221A2E-A1A0-4A5E-8F32-8D48E2D7BD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1174</Words>
  <Characters>6697</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dc:creator>
  <cp:keywords/>
  <dc:description/>
  <cp:lastModifiedBy>Мария</cp:lastModifiedBy>
  <cp:revision>2</cp:revision>
  <dcterms:created xsi:type="dcterms:W3CDTF">2025-05-28T10:58:00Z</dcterms:created>
  <dcterms:modified xsi:type="dcterms:W3CDTF">2025-05-28T10:58:00Z</dcterms:modified>
</cp:coreProperties>
</file>